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GraphRAG: Knowledge Graph-Augmented Retrieval for Global Sensemaking in Large Language Models</w:t>
      </w:r>
    </w:p>
    <w:p>
      <w:r>
        <w:br/>
        <w:br/>
      </w:r>
    </w:p>
    <w:p>
      <w:pPr>
        <w:pStyle w:val="Heading1"/>
      </w:pPr>
      <w:r>
        <w:t>Abstract</w:t>
      </w:r>
    </w:p>
    <w:p>
      <w:pPr>
        <w:jc w:val="both"/>
      </w:pPr>
      <w:r>
        <w:rPr>
          <w:sz w:val="22"/>
        </w:rPr>
        <w:t>Retrieval-Augmented Generation (RAG) has become the dominant paradigm for grounding large language models (LLMs) in external knowledge. However, conventional implementations suffer from a fundamental architectural limitation: they retrieve isolated text chunks from flat vector spaces, destroying the relational structure that connects concepts across a corpus. When users pose global sensemaking queries, naive RAG systems fail systematically because no single chunk contains the answer. GraphRAG addresses this gap through a formal topological pipeline: (1) extracting entities and relationships into a Property Graph, (2) performing hierarchical community detection via the Leiden algorithm to optimize modularity and guarantee connectivity, and (3) applying a Map-Reduce summarization strategy over the hierarchical partition tree. Evaluated on large-scale corpora using LLM-as-judge protocols, GraphRAG achieves 67–77% win rates over naive RAG on Comprehensiveness and Diversity. This paper provides a mathematically rigorous formalization of the GraphRAG architecture, analyzing its graph-theoretic foundations, the limitations of cosine similarity in high-dimensional spaces, and its computational trade-offs.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Introduction</w:t>
      </w:r>
      <w:r>
        <w:t xml:space="preserve"> ................................................. 3</w:t>
      </w:r>
    </w:p>
    <w:p>
      <w:r>
        <w:rPr>
          <w:b/>
        </w:rPr>
        <w:t>2. Theoretical Background and Mathematical Foundations</w:t>
      </w:r>
      <w:r>
        <w:t xml:space="preserve"> ................................................. 4</w:t>
      </w:r>
    </w:p>
    <w:p>
      <w:r>
        <w:rPr>
          <w:b/>
        </w:rPr>
        <w:t>3. Experimental Evaluation, Limitations and Future Directions</w:t>
      </w:r>
      <w:r>
        <w:t xml:space="preserve"> ................................................. 8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Research Background</w:t>
      </w:r>
    </w:p>
    <w:p>
      <w:pPr>
        <w:ind w:firstLine="709"/>
        <w:jc w:val="both"/>
      </w:pPr>
      <w:r>
        <w:t>The evolution of Large Language Models (LLMs) has fundamentally transformed natural language processing. However, the deployment of parametric memory models in production environments is severely constrained by two structural limitations: hallucination and knowledge cutoff [1].</w:t>
      </w:r>
    </w:p>
    <w:p>
      <w:pPr>
        <w:ind w:firstLine="709"/>
        <w:jc w:val="both"/>
      </w:pPr>
      <w:r>
        <w:t>Retrieval-Augmented Generation (RAG) mitigates these limitations by explicitly decoupling computation from knowledge storage. Introduced by Lewis et al. (2020), RAG projects queries and documents into a shared continuous embedding space, using Maximum Inner Product Search (MIPS) to condition language generation on retrieved non-parametric evidence [2].</w:t>
      </w:r>
    </w:p>
    <w:p>
      <w:pPr>
        <w:pStyle w:val="Heading3"/>
      </w:pPr>
      <w:r>
        <w:t>1.1.1 The Global Context Fragmentation Problem</w:t>
      </w:r>
    </w:p>
    <w:p>
      <w:pPr>
        <w:ind w:firstLine="709"/>
        <w:jc w:val="both"/>
      </w:pPr>
      <w:r>
        <w:t>The standard RAG pipeline partitions documents into fixed-length contiguous token sequences (typically 300-600 tokens). This arbitrary chunking process severs long-range semantic dependencies. Entities discussed across disparate sections of a corpus become topologically isolated in independent vector representations.</w:t>
      </w:r>
    </w:p>
    <w:p>
      <w:pPr>
        <w:pStyle w:val="Heading3"/>
      </w:pPr>
      <w:r>
        <w:t>1.1.2 Multi-hop Reasoning Failure</w:t>
      </w:r>
    </w:p>
    <w:p>
      <w:pPr>
        <w:ind w:firstLine="709"/>
        <w:jc w:val="both"/>
      </w:pPr>
      <w:r>
        <w:t>Cognitively demanding tasks frequently require traversing transitive logical chains. If entity A implies B, and B implies C, a query regarding the relationship between A and C will fail under standard RAG if A and C lack direct lexical overlap. The flat geometric topology of dense vector spaces provides no mathematically sound mechanism for traversing these relational chains [3].</w:t>
      </w:r>
    </w:p>
    <w:p>
      <w:pPr>
        <w:pStyle w:val="Heading2"/>
      </w:pPr>
      <w:r>
        <w:t>1.2 GraphRAG: A Topological Solution</w:t>
      </w:r>
    </w:p>
    <w:p>
      <w:pPr>
        <w:ind w:firstLine="709"/>
        <w:jc w:val="both"/>
      </w:pPr>
      <w:r>
        <w:t>GraphRAG (Edge et al., 2024) abandons the flat vector space paradigm in favor of explicit topological representations [4]. The framework operates via three discrete mathematical transformations:</w:t>
      </w:r>
    </w:p>
    <w:p>
      <w:pPr>
        <w:ind w:firstLine="709"/>
        <w:jc w:val="both"/>
      </w:pPr>
      <w:r>
        <w:t>1. Manifold to Graph Extraction: Employing LLMs as extraction functions to map unstructured text manifolds onto a directed Property Graph.</w:t>
      </w:r>
    </w:p>
    <w:p>
      <w:pPr>
        <w:ind w:firstLine="709"/>
        <w:jc w:val="both"/>
      </w:pPr>
      <w:r>
        <w:t>2. Topological Clustering: Applying the Leiden algorithm to optimize graph Modularity, yielding a strictly connected, hierarchical community partition tree.</w:t>
      </w:r>
    </w:p>
    <w:p>
      <w:pPr>
        <w:ind w:firstLine="709"/>
        <w:jc w:val="both"/>
      </w:pPr>
      <w:r>
        <w:t>3. Hierarchy Resolution: Applying Map-Reduce aggregations across discrete slices of the community tree to generate globally synthesized responses.</w:t>
      </w:r>
    </w:p>
    <w:p>
      <w:r>
        <w:br w:type="page"/>
      </w:r>
    </w:p>
    <w:p>
      <w:pPr>
        <w:pStyle w:val="Heading1"/>
      </w:pPr>
      <w:r>
        <w:t>Chapter 2: Theoretical Background and Mathematical Foundations</w:t>
      </w:r>
    </w:p>
    <w:p>
      <w:pPr>
        <w:pStyle w:val="Heading2"/>
      </w:pPr>
      <w:r>
        <w:t>2.1 Limitations of Dense Vector Spaces in RAG</w:t>
      </w:r>
    </w:p>
    <w:p>
      <w:pPr>
        <w:pStyle w:val="Heading3"/>
      </w:pPr>
      <w:r>
        <w:t>2.1.1 Formal Definition of Dense Retrieval</w:t>
      </w:r>
    </w:p>
    <w:p>
      <w:pPr>
        <w:ind w:firstLine="709"/>
        <w:jc w:val="both"/>
      </w:pPr>
      <w:r>
        <w:t xml:space="preserve">Conventional RAG operates within a high-dimensional continuous space. Let </w:t>
      </w:r>
      <w:r>
        <w:rPr>
          <w:rFonts w:ascii="Cambria Math" w:hAnsi="Cambria Math"/>
          <w:i/>
        </w:rPr>
        <w:t>D = {d_1, d_2, ..., d_n}</w:t>
      </w:r>
      <w:r>
        <w:t xml:space="preserve"> be a document corpus. An encoder function </w:t>
      </w:r>
      <w:r>
        <w:rPr>
          <w:rFonts w:ascii="Cambria Math" w:hAnsi="Cambria Math"/>
          <w:i/>
        </w:rPr>
        <w:t>Φ: X → R^d</w:t>
      </w:r>
      <w:r>
        <w:t xml:space="preserve"> maps discrete text to dense vectors. The retrieval subsystem ranks documents against a query </w:t>
      </w:r>
      <w:r>
        <w:rPr>
          <w:rFonts w:ascii="Cambria Math" w:hAnsi="Cambria Math"/>
          <w:i/>
        </w:rPr>
        <w:t>q</w:t>
      </w:r>
      <w:r>
        <w:t xml:space="preserve"> using Cosine Similarity:</w:t>
      </w:r>
    </w:p>
    <w:p>
      <w:pPr>
        <w:jc w:val="center"/>
      </w:pPr>
      <w:r>
        <w:rPr>
          <w:rFonts w:ascii="Cambria Math" w:hAnsi="Cambria Math"/>
          <w:i/>
        </w:rPr>
        <w:t>S_C(q, d_i) = (Φ(q) · Φ(d_i)) / (||Φ(q)||₂ × ||Φ(d_i)||₂)</w:t>
      </w:r>
    </w:p>
    <w:p>
      <w:pPr>
        <w:pStyle w:val="Heading3"/>
      </w:pPr>
      <w:r>
        <w:t>2.1.2 The Curse of Dimensionality and Transitivity Collapse</w:t>
      </w:r>
    </w:p>
    <w:p>
      <w:pPr>
        <w:ind w:firstLine="709"/>
        <w:jc w:val="both"/>
      </w:pPr>
      <w:r>
        <w:t>In high-dimensional spaces (</w:t>
      </w:r>
      <w:r>
        <w:rPr>
          <w:rFonts w:ascii="Cambria Math" w:hAnsi="Cambria Math"/>
          <w:i/>
        </w:rPr>
        <w:t>d = 1536</w:t>
      </w:r>
      <w:r>
        <w:t xml:space="preserve"> or </w:t>
      </w:r>
      <w:r>
        <w:rPr>
          <w:rFonts w:ascii="Cambria Math" w:hAnsi="Cambria Math"/>
          <w:i/>
        </w:rPr>
        <w:t>4096</w:t>
      </w:r>
      <w:r>
        <w:t xml:space="preserve">), vector retrieval suffers from Variance Collapse. By the Law of Large Numbers, as </w:t>
      </w:r>
      <w:r>
        <w:rPr>
          <w:rFonts w:ascii="Cambria Math" w:hAnsi="Cambria Math"/>
          <w:i/>
        </w:rPr>
        <w:t>d → ∞</w:t>
      </w:r>
      <w:r>
        <w:t xml:space="preserve">, the variance of cosine similarity between independent random vectors shrinks proportionally to </w:t>
      </w:r>
      <w:r>
        <w:rPr>
          <w:rFonts w:ascii="Cambria Math" w:hAnsi="Cambria Math"/>
          <w:i/>
        </w:rPr>
        <w:t>1/d</w:t>
      </w:r>
      <w:r>
        <w:t>. Consequently, all vectors become mutually quasi-orthogonal, and the relative contrast metric between nearest and farthest neighbors decays to zero:</w:t>
      </w:r>
    </w:p>
    <w:p>
      <w:pPr>
        <w:jc w:val="center"/>
      </w:pPr>
      <w:r>
        <w:rPr>
          <w:rFonts w:ascii="Cambria Math" w:hAnsi="Cambria Math"/>
          <w:i/>
        </w:rPr>
        <w:t>lim_{d→∞} (D_max - D_min) / D_min → 0</w:t>
      </w:r>
    </w:p>
    <w:p>
      <w:pPr>
        <w:ind w:firstLine="709"/>
        <w:jc w:val="both"/>
      </w:pPr>
      <w:r>
        <w:t xml:space="preserve">Furthermore, angular geometry fundamentally prevents multi-hop reasoning. Cosine similarity operates on the unit hypersphere </w:t>
      </w:r>
      <w:r>
        <w:rPr>
          <w:rFonts w:ascii="Cambria Math" w:hAnsi="Cambria Math"/>
          <w:i/>
        </w:rPr>
        <w:t>S^{d-1}</w:t>
      </w:r>
      <w:r>
        <w:t xml:space="preserve">, where angular distance strictly obeys the triangle inequality: </w:t>
      </w:r>
      <w:r>
        <w:rPr>
          <w:rFonts w:ascii="Cambria Math" w:hAnsi="Cambria Math"/>
          <w:i/>
        </w:rPr>
        <w:t>θ(A, C) ≤ θ(A, B) + θ(B, C)</w:t>
      </w:r>
      <w:r>
        <w:t>. If concepts A and C are logically connected through B but share no direct vocabulary, their vectors remain orthogonal (angle ≈ π/2). Flat vector retrieval cannot compose transitive jumps because linear addition fails on the non-linear manifold of natural language.</w:t>
      </w:r>
    </w:p>
    <w:p>
      <w:pPr>
        <w:pStyle w:val="Heading2"/>
      </w:pPr>
      <w:r>
        <w:t>2.2 Knowledge Graph Formalism</w:t>
      </w:r>
    </w:p>
    <w:p>
      <w:pPr>
        <w:pStyle w:val="Heading3"/>
      </w:pPr>
      <w:r>
        <w:t>2.2.1 The Property Graph Model</w:t>
      </w:r>
    </w:p>
    <w:p>
      <w:pPr>
        <w:ind w:firstLine="709"/>
        <w:jc w:val="both"/>
      </w:pPr>
      <w:r>
        <w:t xml:space="preserve">To resolve angular transitivity collapse, GraphRAG maps data into a topological space. Unlike simple RDF Triples, GraphRAG employs a Property Graph, strictly defined as a tuple </w:t>
      </w:r>
      <w:r>
        <w:rPr>
          <w:rFonts w:ascii="Cambria Math" w:hAnsi="Cambria Math"/>
          <w:i/>
        </w:rPr>
        <w:t>G = (V, E, ρ, λ, σ)</w:t>
      </w:r>
      <w:r>
        <w:t>:</w:t>
      </w:r>
      <w:r>
        <w:rPr>
          <w:rFonts w:ascii="Cambria Math" w:hAnsi="Cambria Math"/>
          <w:i/>
        </w:rPr>
        <w:t>V</w:t>
      </w:r>
      <w:r>
        <w:t xml:space="preserve"> is a finite set of vertices (entities).</w:t>
      </w:r>
      <w:r>
        <w:rPr>
          <w:rFonts w:ascii="Cambria Math" w:hAnsi="Cambria Math"/>
          <w:i/>
        </w:rPr>
        <w:t>E</w:t>
      </w:r>
      <w:r>
        <w:t xml:space="preserve"> is a finite set of directed edges (relations).</w:t>
      </w:r>
      <w:r>
        <w:rPr>
          <w:rFonts w:ascii="Cambria Math" w:hAnsi="Cambria Math"/>
          <w:i/>
        </w:rPr>
        <w:t>ρ: E → V × V</w:t>
      </w:r>
      <w:r>
        <w:t xml:space="preserve"> maps an edge to its source and target.</w:t>
      </w:r>
      <w:r>
        <w:rPr>
          <w:rFonts w:ascii="Cambria Math" w:hAnsi="Cambria Math"/>
          <w:i/>
        </w:rPr>
        <w:t>σ: (V ∪ E) × K → W</w:t>
      </w:r>
      <w:r>
        <w:t xml:space="preserve"> is the crucial partial function assigning key-value properties. In GraphRAG, this embeds raw textual descriptions directly into the topology.</w:t>
      </w:r>
    </w:p>
    <w:p>
      <w:pPr>
        <w:ind w:firstLine="709"/>
        <w:jc w:val="both"/>
      </w:pPr>
      <w:r>
        <w:t xml:space="preserve">• </w:t>
      </w:r>
    </w:p>
    <w:p>
      <w:pPr>
        <w:ind w:firstLine="709"/>
        <w:jc w:val="both"/>
      </w:pPr>
      <w:r>
        <w:t xml:space="preserve">• </w:t>
      </w:r>
    </w:p>
    <w:p>
      <w:pPr>
        <w:ind w:firstLine="709"/>
        <w:jc w:val="both"/>
      </w:pPr>
      <w:r>
        <w:t xml:space="preserve">• </w:t>
      </w:r>
    </w:p>
    <w:p>
      <w:pPr>
        <w:ind w:firstLine="709"/>
        <w:jc w:val="both"/>
      </w:pPr>
      <w:r>
        <w:t xml:space="preserve">• </w:t>
      </w:r>
    </w:p>
    <w:p>
      <w:pPr>
        <w:pStyle w:val="Heading3"/>
      </w:pPr>
      <w:r>
        <w:t>2.2.2 Personalized PageRank (PPR) for Multi-Hop</w:t>
      </w:r>
    </w:p>
    <w:p>
      <w:pPr>
        <w:ind w:firstLine="709"/>
        <w:jc w:val="both"/>
      </w:pPr>
      <w:r>
        <w:t xml:space="preserve">Advanced GraphRAG architectures (e.g., HippoRAG) utilize PPR to compute reachability rather than geometric angles. Let </w:t>
      </w:r>
      <w:r>
        <w:rPr>
          <w:rFonts w:ascii="Cambria Math" w:hAnsi="Cambria Math"/>
          <w:i/>
        </w:rPr>
        <w:t>P = A D^{-1}</w:t>
      </w:r>
      <w:r>
        <w:t xml:space="preserve"> be the column-stochastic transition matrix. The stationary distribution </w:t>
      </w:r>
      <w:r>
        <w:rPr>
          <w:rFonts w:ascii="Cambria Math" w:hAnsi="Cambria Math"/>
          <w:i/>
        </w:rPr>
        <w:t>π_s</w:t>
      </w:r>
      <w:r>
        <w:t xml:space="preserve"> relative to query node </w:t>
      </w:r>
      <w:r>
        <w:rPr>
          <w:rFonts w:ascii="Cambria Math" w:hAnsi="Cambria Math"/>
          <w:i/>
        </w:rPr>
        <w:t>s</w:t>
      </w:r>
      <w:r>
        <w:t xml:space="preserve"> satisfies:</w:t>
      </w:r>
    </w:p>
    <w:p>
      <w:pPr>
        <w:jc w:val="center"/>
      </w:pPr>
      <w:r>
        <w:rPr>
          <w:rFonts w:ascii="Cambria Math" w:hAnsi="Cambria Math"/>
          <w:i/>
        </w:rPr>
        <w:t>π_s = α [I - (1 - α) P]^{-1} e_s = α Σ_{k=0}^∞ (1 - α)^k P^k e_s</w:t>
      </w:r>
    </w:p>
    <w:p>
      <w:pPr>
        <w:ind w:firstLine="709"/>
        <w:jc w:val="both"/>
      </w:pPr>
      <w:r>
        <w:t xml:space="preserve">The Neumann power series expansion reveals the exact mathematical proof for multi-hop capability: </w:t>
      </w:r>
      <w:r>
        <w:rPr>
          <w:rFonts w:ascii="Cambria Math" w:hAnsi="Cambria Math"/>
          <w:i/>
        </w:rPr>
        <w:t>P^k e_s</w:t>
      </w:r>
      <w:r>
        <w:t xml:space="preserve"> explicitly computes the topological probability of reaching a node in exactly </w:t>
      </w:r>
      <w:r>
        <w:rPr>
          <w:rFonts w:ascii="Cambria Math" w:hAnsi="Cambria Math"/>
          <w:i/>
        </w:rPr>
        <w:t>k</w:t>
      </w:r>
      <w:r>
        <w:t xml:space="preserve"> hops, while the decay factor </w:t>
      </w:r>
      <w:r>
        <w:rPr>
          <w:rFonts w:ascii="Cambria Math" w:hAnsi="Cambria Math"/>
          <w:i/>
        </w:rPr>
        <w:t>(1-α)^k</w:t>
      </w:r>
      <w:r>
        <w:t xml:space="preserve"> suppresses noise from overly long chains [5].</w:t>
      </w:r>
    </w:p>
    <w:p>
      <w:pPr>
        <w:pStyle w:val="Heading2"/>
      </w:pPr>
      <w:r>
        <w:t>2.3 Modularity Optimization and the Leiden Algorithm</w:t>
      </w:r>
    </w:p>
    <w:p>
      <w:pPr>
        <w:pStyle w:val="Heading3"/>
      </w:pPr>
      <w:r>
        <w:t>2.3.1 Modularity (Q)</w:t>
      </w:r>
    </w:p>
    <w:p>
      <w:pPr>
        <w:ind w:firstLine="709"/>
        <w:jc w:val="both"/>
      </w:pPr>
      <w:r>
        <w:t>To enable global summarization, the graph must be partitioned into dense communities. The objective function is Modularity (</w:t>
      </w:r>
      <w:r>
        <w:rPr>
          <w:rFonts w:ascii="Cambria Math" w:hAnsi="Cambria Math"/>
          <w:i/>
        </w:rPr>
        <w:t>Q</w:t>
      </w:r>
      <w:r>
        <w:t>), which compares actual edge density to a random Configuration Model:</w:t>
      </w:r>
    </w:p>
    <w:p>
      <w:pPr>
        <w:jc w:val="center"/>
      </w:pPr>
      <w:r>
        <w:rPr>
          <w:rFonts w:ascii="Cambria Math" w:hAnsi="Cambria Math"/>
          <w:i/>
        </w:rPr>
        <w:t>Q = (1/2m) Σ_{i,j} [A_{ij} - (k_i k_j)/(2m)] δ(c_i, c_j)</w:t>
      </w:r>
    </w:p>
    <w:p>
      <w:pPr>
        <w:ind w:firstLine="709"/>
        <w:jc w:val="both"/>
      </w:pPr>
      <w:r>
        <w:t xml:space="preserve">Here, </w:t>
      </w:r>
      <w:r>
        <w:rPr>
          <w:rFonts w:ascii="Cambria Math" w:hAnsi="Cambria Math"/>
          <w:i/>
        </w:rPr>
        <w:t>(k_i k_j)/(2m)</w:t>
      </w:r>
      <w:r>
        <w:t xml:space="preserve"> is the expected edge weight between nodes in a random graph. Maximizing </w:t>
      </w:r>
      <w:r>
        <w:rPr>
          <w:rFonts w:ascii="Cambria Math" w:hAnsi="Cambria Math"/>
          <w:i/>
        </w:rPr>
        <w:t>Q</w:t>
      </w:r>
      <w:r>
        <w:t xml:space="preserve"> identifies clusters that are structurally denser than random chance.</w:t>
      </w:r>
    </w:p>
    <w:p>
      <w:pPr>
        <w:pStyle w:val="Heading3"/>
      </w:pPr>
      <w:r>
        <w:t>2.3.2 The Defect of Louvain and Leiden’s Guarantee</w:t>
      </w:r>
    </w:p>
    <w:p>
      <w:pPr>
        <w:ind w:firstLine="709"/>
        <w:jc w:val="both"/>
      </w:pPr>
      <w:r>
        <w:t xml:space="preserve">The legacy Louvain algorithm suffers from a mathematical defect: it can produce communities that are arbitrarily disconnected internally (up to 25% of the time). If Louvain greedily moves a cut-vertex to maximize </w:t>
      </w:r>
      <w:r>
        <w:rPr>
          <w:rFonts w:ascii="Cambria Math" w:hAnsi="Cambria Math"/>
          <w:i/>
        </w:rPr>
        <w:t>Q</w:t>
      </w:r>
      <w:r>
        <w:t>, the remaining nodes in the community shatter into isolated subgraphs [6].</w:t>
      </w:r>
    </w:p>
    <w:p>
      <w:pPr>
        <w:ind w:firstLine="709"/>
        <w:jc w:val="both"/>
      </w:pPr>
      <w:r>
        <w:t>GraphRAG specifically mandates the Leiden algorithm (Traag et al., 2019) to fix this. Leiden introduces a strict stochastic Refinement phase between local moving and aggregation. By mathematically restricting node merges to boundaries that strictly contain at least one connecting edge (</w:t>
      </w:r>
      <w:r>
        <w:rPr>
          <w:rFonts w:ascii="Cambria Math" w:hAnsi="Cambria Math"/>
          <w:i/>
        </w:rPr>
        <w:t>A_{uv} &gt; 0</w:t>
      </w:r>
      <w:r>
        <w:t>), Leiden proves by induction that every generated community is a connected subgraph.</w:t>
      </w:r>
    </w:p>
    <w:p>
      <w:pPr>
        <w:ind w:firstLine="709"/>
        <w:jc w:val="both"/>
      </w:pPr>
      <w:r>
        <w:t xml:space="preserve">The execution of Leiden yields a Tree of Partitions </w:t>
      </w:r>
      <w:r>
        <w:rPr>
          <w:rFonts w:ascii="Cambria Math" w:hAnsi="Cambria Math"/>
          <w:i/>
        </w:rPr>
        <w:t>H = {P_0, P_1, ..., P_L}</w:t>
      </w:r>
      <w:r>
        <w:t xml:space="preserve">. GraphRAG leverages this precise hierarchy, running distributed Map-Reduce LLM summarizations horizontally across specific cross-sectional slices (e.g., Level </w:t>
      </w:r>
      <w:r>
        <w:rPr>
          <w:rFonts w:ascii="Cambria Math" w:hAnsi="Cambria Math"/>
          <w:i/>
        </w:rPr>
        <w:t>P_2</w:t>
      </w:r>
      <w:r>
        <w:t>) to generate globally synthesized answers without violating the LLM context window.</w:t>
      </w:r>
    </w:p>
    <w:p>
      <w:r>
        <w:br w:type="page"/>
      </w:r>
    </w:p>
    <w:p>
      <w:pPr>
        <w:pStyle w:val="Heading1"/>
      </w:pPr>
      <w:r>
        <w:t>Chapter 3: Experimental Evaluation and Future Directions</w:t>
      </w:r>
    </w:p>
    <w:p>
      <w:pPr>
        <w:pStyle w:val="Heading2"/>
      </w:pPr>
      <w:r>
        <w:t>3.1 Experimental Setup and Results</w:t>
      </w:r>
    </w:p>
    <w:p>
      <w:pPr>
        <w:ind w:firstLine="709"/>
        <w:jc w:val="both"/>
      </w:pPr>
      <w:r>
        <w:t>Evaluations were conducted on two large-scale datasets: 1M token podcast transcripts and 1.7M token news articles. The LLM-as-Judge protocol (GPT-4) evaluated GraphRAG against Naive RAG across four specific dimensions.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Naive RAG</w:t>
            </w:r>
          </w:p>
        </w:tc>
        <w:tc>
          <w:tcPr>
            <w:tcW w:type="dxa" w:w="1881"/>
          </w:tcPr>
          <w:p>
            <w:r>
              <w:rPr>
                <w:b/>
              </w:rPr>
              <w:t>GraphRAG (C0)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GraphRAG (C2)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GraphRAG (C3)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Comprehensiveness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+50-60%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+67-73%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+70-77%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Diversity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+45-55%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+60-70%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+70-77%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Empowerment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+40-50%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+55-65%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+68-72%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Directness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Lower</w:t>
            </w:r>
          </w:p>
        </w:tc>
      </w:tr>
    </w:tbl>
    <w:p>
      <w:pPr>
        <w:jc w:val="center"/>
      </w:pPr>
      <w:r>
        <w:t>Table 1: Win rate of GraphRAG over Naive RAG across community granularities.</w:t>
      </w:r>
    </w:p>
    <w:p>
      <w:pPr>
        <w:ind w:firstLine="709"/>
        <w:jc w:val="both"/>
      </w:pPr>
      <w:r>
        <w:t>Results prove that the topological approach dominates on Comprehensiveness and Diversity. The intermediate abstraction level (C2) provides the mathematically optimal compression ratio of signal-to-noise.</w:t>
      </w:r>
    </w:p>
    <w:p>
      <w:pPr>
        <w:pStyle w:val="Heading2"/>
      </w:pPr>
      <w:r>
        <w:t>3.2 Limitations and Future Work</w:t>
      </w:r>
    </w:p>
    <w:p>
      <w:pPr>
        <w:ind w:firstLine="709"/>
        <w:jc w:val="both"/>
      </w:pPr>
      <w:r>
        <w:t>1. Indexing Cost: Extracting the property graph via LLMs is roughly 700x more expensive than dense embedding indexing.</w:t>
      </w:r>
    </w:p>
    <w:p>
      <w:pPr>
        <w:ind w:firstLine="709"/>
        <w:jc w:val="both"/>
      </w:pPr>
      <w:r>
        <w:t>2. Static Topology: Current graph formulations are static. Updating the graph requires massive re-computation. Future architectures must integrate streaming graph algorithms to update partitions dynamically.</w:t>
      </w:r>
    </w:p>
    <w:p>
      <w:pPr>
        <w:ind w:firstLine="709"/>
        <w:jc w:val="both"/>
      </w:pPr>
      <w:r>
        <w:t>3. Neuro-Symbolic Integration: Combining Small Language Models (SLMs) for rapid edge extraction with massive LLMs for synthesis represents the most viable path to scaling GraphRAG into real-time production environments.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jc w:val="both"/>
      </w:pPr>
      <w:r>
        <w:t>[1] Lewis, P., et al. (2020). Retrieval-Augmented Generation for Knowledge-Intensive NLP Tasks. NeurIPS 2020. https://arxiv.org/abs/2005.11401</w:t>
      </w:r>
    </w:p>
    <w:p>
      <w:pPr>
        <w:jc w:val="both"/>
      </w:pPr>
      <w:r>
        <w:t>[2] Gao, Y., et al. (2023). Retrieval-Augmented Generation for Large Language Models: A Survey. https://arxiv.org/abs/2312.10997</w:t>
      </w:r>
    </w:p>
    <w:p>
      <w:pPr>
        <w:jc w:val="both"/>
      </w:pPr>
      <w:r>
        <w:t>[3] Edge, D., et al. (2024). From Local to Global: A Graph RAG Approach to Query-Focused Summarization. Microsoft Research. https://arxiv.org/abs/2404.16130</w:t>
      </w:r>
    </w:p>
    <w:p>
      <w:pPr>
        <w:jc w:val="both"/>
      </w:pPr>
      <w:r>
        <w:t>[4] Han, H., et al. (2025). RAG vs. GraphRAG: A Systematic Evaluation and Key Insights. https://arxiv.org/abs/2502.11371</w:t>
      </w:r>
    </w:p>
    <w:p>
      <w:pPr>
        <w:jc w:val="both"/>
      </w:pPr>
      <w:r>
        <w:t>[5] Gutiérrez, B. J., et al. (2024). HippoRAG: Neurobiologically Inspired Long-Term Memory for Large Language Models. NeurIPS 2024. https://arxiv.org/abs/2405.14831</w:t>
      </w:r>
    </w:p>
    <w:p>
      <w:pPr>
        <w:jc w:val="both"/>
      </w:pPr>
      <w:r>
        <w:t>[6] Traag, V. A., Waltman, L., &amp; van Eck, N. J. (2019). From Louvain to Leiden: guaranteeing well-connected communities. Scientific Reports, 9(1), 5233. https://doi.org/10.1038/s41598-019-41695-z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