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VÌ SAO CHỌN STACK NÀY — GIẢI THÍCH CHO QUYẾT ĐỊNH CÔNG NGHỆ</w:t>
      </w:r>
    </w:p>
    <w:p>
      <w:r>
        <w:rPr>
          <w:b w:val="0"/>
          <w:i/>
        </w:rPr>
        <w:t>Ngày: 2026-08-10 | Mục đích: giải thích lựa chọn công nghệ để sếp duyệt</w:t>
      </w:r>
    </w:p>
    <w:p>
      <w:r>
        <w:rPr>
          <w:b w:val="0"/>
          <w:i w:val="0"/>
        </w:rPr>
        <w:t>Tài liệu này trả lời câu hỏi: vì sao chúng tôi KHÔNG dùng Pinecone + OpenAI embedding (như đề xuất ban đầu trong file kế hoạch), mà chọn PostgreSQL + aibox embedding + LightRAG. Mọi số liệu giá đều tra cứu từ trang chính thức của nhà cung cấp ngày 2026-08-10.</w:t>
      </w:r>
    </w:p>
    <w:p>
      <w:pPr>
        <w:pStyle w:val="Heading1"/>
      </w:pPr>
      <w:r>
        <w:rPr>
          <w:color w:val="1F4E79"/>
        </w:rPr>
        <w:t>1. Tóm tắt cho sếp (đọc 3 dòng này)</w:t>
      </w:r>
    </w:p>
    <w:p>
      <w:r>
        <w:rPr>
          <w:b w:val="0"/>
          <w:i w:val="0"/>
        </w:rPr>
        <w:t>1) Hệ thống này cần lưu KHÔNG CHỈ vector (đoạn văn đã mã hóa) mà còn ĐỒ THỊ quan hệ pháp lý (tài liệu liên quan tài liệu nào). Pinecone chỉ lưu vector — nếu dùng Pinecone, chúng ta vẫn phải thuê thêm 1 hệ thống khác để lưu đồ thị → 2 hệ thống, tốn gấp đôi mà khó sao lưu.</w:t>
      </w:r>
    </w:p>
    <w:p>
      <w:r>
        <w:rPr>
          <w:b w:val="0"/>
          <w:i w:val="0"/>
        </w:rPr>
        <w:t>2) PostgreSQL (có sẵn trên máy chủ chúng ta thuê ~235-315k/tháng) lưu được CẢ vector lẫn đồ thị lẫn hồ sơ tài liệu trong 1 database — 1 nơi, 1 lệnh sao lưu, không phát sinh chi phí.</w:t>
      </w:r>
    </w:p>
    <w:p>
      <w:r>
        <w:rPr>
          <w:b w:val="0"/>
          <w:i w:val="0"/>
        </w:rPr>
        <w:t>3) Embedding aibox (Việt Nam) hỗ trợ tiếng Việt tốt và dữ liệu ở trong nước; OpenAI text-embedding-3-small rẻ ($0.02/1M token) nhưng tối ưu cho tiếng Anh và dữ liệu phải gửi sang máy chủ Mỹ — không phù hợp tài liệu pháp lý nhạy cảm.</w:t>
      </w:r>
    </w:p>
    <w:p>
      <w:pPr>
        <w:pStyle w:val="Heading1"/>
      </w:pPr>
      <w:r>
        <w:rPr>
          <w:color w:val="1F4E79"/>
        </w:rPr>
        <w:t>2. Kho lưu vector: Pinecone vs PostgreSQL</w:t>
      </w:r>
    </w:p>
    <w:tbl>
      <w:tblPr>
        <w:tblStyle w:val="LightGrid-Accent1"/>
        <w:tblW w:type="auto" w:w="0"/>
        <w:jc w:val="center"/>
        <w:tblLook w:firstColumn="1" w:firstRow="1" w:lastColumn="0" w:lastRow="0" w:noHBand="0" w:noVBand="1" w:val="04A0"/>
      </w:tblPr>
      <w:tblGrid>
        <w:gridCol w:w="2880"/>
        <w:gridCol w:w="2880"/>
        <w:gridCol w:w="2880"/>
      </w:tblGrid>
      <w:tr>
        <w:tc>
          <w:tcPr>
            <w:tcW w:type="dxa" w:w="1984"/>
            <w:shd w:val="clear" w:fill="1F4E79"/>
          </w:tcPr>
          <w:p>
            <w:r/>
            <w:r>
              <w:rPr>
                <w:b/>
                <w:color w:val="FFFFFF"/>
              </w:rPr>
              <w:t>Tiêu chí</w:t>
            </w:r>
          </w:p>
        </w:tc>
        <w:tc>
          <w:tcPr>
            <w:tcW w:type="dxa" w:w="3685"/>
            <w:shd w:val="clear" w:fill="1F4E79"/>
          </w:tcPr>
          <w:p>
            <w:r/>
            <w:r>
              <w:rPr>
                <w:b/>
                <w:color w:val="FFFFFF"/>
              </w:rPr>
              <w:t>Pinecone (đề xuất ban đầu)</w:t>
            </w:r>
          </w:p>
        </w:tc>
        <w:tc>
          <w:tcPr>
            <w:tcW w:type="dxa" w:w="3685"/>
            <w:shd w:val="clear" w:fill="1F4E79"/>
          </w:tcPr>
          <w:p>
            <w:r/>
            <w:r>
              <w:rPr>
                <w:b/>
                <w:color w:val="FFFFFF"/>
              </w:rPr>
              <w:t>PostgreSQL + pgvector (đã chọn)</w:t>
            </w:r>
          </w:p>
        </w:tc>
      </w:tr>
      <w:tr>
        <w:tc>
          <w:tcPr>
            <w:tcW w:type="dxa" w:w="1984"/>
          </w:tcPr>
          <w:p>
            <w:r>
              <w:t>Lưu được gì?</w:t>
            </w:r>
          </w:p>
        </w:tc>
        <w:tc>
          <w:tcPr>
            <w:tcW w:type="dxa" w:w="3685"/>
          </w:tcPr>
          <w:p>
            <w:r>
              <w:t>CHỈ vector + metadata</w:t>
            </w:r>
          </w:p>
        </w:tc>
        <w:tc>
          <w:tcPr>
            <w:tcW w:type="dxa" w:w="3685"/>
          </w:tcPr>
          <w:p>
            <w:r>
              <w:t>Vector + ĐỒ THỊ pháp lý + hồ sơ tài liệu + nhật ký truy vấn</w:t>
            </w:r>
          </w:p>
        </w:tc>
      </w:tr>
      <w:tr>
        <w:tc>
          <w:tcPr>
            <w:tcW w:type="dxa" w:w="1984"/>
          </w:tcPr>
          <w:p>
            <w:r>
              <w:t>Vị trí máy chủ</w:t>
            </w:r>
          </w:p>
        </w:tc>
        <w:tc>
          <w:tcPr>
            <w:tcW w:type="dxa" w:w="3685"/>
          </w:tcPr>
          <w:p>
            <w:r>
              <w:t>Mỹ (free tier chỉ us-east-1)</w:t>
            </w:r>
          </w:p>
        </w:tc>
        <w:tc>
          <w:tcPr>
            <w:tcW w:type="dxa" w:w="3685"/>
          </w:tcPr>
          <w:p>
            <w:r>
              <w:t>Trong nước — VPS Viettel Đà Nẵng (gần người dùng, &lt;5ms)</w:t>
            </w:r>
          </w:p>
        </w:tc>
      </w:tr>
      <w:tr>
        <w:tc>
          <w:tcPr>
            <w:tcW w:type="dxa" w:w="1984"/>
          </w:tcPr>
          <w:p>
            <w:r>
              <w:t>Chi phí</w:t>
            </w:r>
          </w:p>
        </w:tc>
        <w:tc>
          <w:tcPr>
            <w:tcW w:type="dxa" w:w="3685"/>
          </w:tcPr>
          <w:p>
            <w:r>
              <w:t>Free tier: giới hạn 2GB/1M đọc/tháng; VƯỢT → $50/tháng (~1.3 triệu VNĐ)</w:t>
            </w:r>
          </w:p>
        </w:tc>
        <w:tc>
          <w:tcPr>
            <w:tcW w:type="dxa" w:w="3685"/>
          </w:tcPr>
          <w:p>
            <w:r>
              <w:t>0đ — nằm sẵn trong VPS 235-315k/tháng đã thuê</w:t>
            </w:r>
          </w:p>
        </w:tc>
      </w:tr>
      <w:tr>
        <w:tc>
          <w:tcPr>
            <w:tcW w:type="dxa" w:w="1984"/>
          </w:tcPr>
          <w:p>
            <w:r>
              <w:t>Sao lưu pháp lý</w:t>
            </w:r>
          </w:p>
        </w:tc>
        <w:tc>
          <w:tcPr>
            <w:tcW w:type="dxa" w:w="3685"/>
          </w:tcPr>
          <w:p>
            <w:r>
              <w:t>Phải trả thêm phí backup</w:t>
            </w:r>
          </w:p>
        </w:tc>
        <w:tc>
          <w:tcPr>
            <w:tcW w:type="dxa" w:w="3685"/>
          </w:tcPr>
          <w:p>
            <w:r>
              <w:t>pg_dump 1 lệnh, sao lưu toàn bộ</w:t>
            </w:r>
          </w:p>
        </w:tc>
      </w:tr>
      <w:tr>
        <w:tc>
          <w:tcPr>
            <w:tcW w:type="dxa" w:w="1984"/>
          </w:tcPr>
          <w:p>
            <w:r>
              <w:t>Dữ liệu pháp lý ra nước ngoài?</w:t>
            </w:r>
          </w:p>
        </w:tc>
        <w:tc>
          <w:tcPr>
            <w:tcW w:type="dxa" w:w="3685"/>
          </w:tcPr>
          <w:p>
            <w:r>
              <w:t>CÓ — gửi sang Mỹ</w:t>
            </w:r>
          </w:p>
        </w:tc>
        <w:tc>
          <w:tcPr>
            <w:tcW w:type="dxa" w:w="3685"/>
          </w:tcPr>
          <w:p>
            <w:r>
              <w:t>KHÔNG — giữ trong nước</w:t>
            </w:r>
          </w:p>
        </w:tc>
      </w:tr>
    </w:tbl>
    <w:p/>
    <w:p>
      <w:r>
        <w:rPr>
          <w:b w:val="0"/>
          <w:i w:val="0"/>
        </w:rPr>
        <w:t>Lý do cốt lõi: dự án này KHÔNG phải RAG vector thuần — LightRAG xây đồ thị quan hệ pháp lý (vd: “thế chấp ngân hàng” ≠ “cầm cố quyền sử dụng đất”). Đồ thị đó KHÔNG để được trong Pinecone. Dùng Pinecone = phải thêm 1 hạ tầng nữa (ví dụ Neo4j/PostgreSQL riêng) → 2 hệ thống sao lưu, chi phí tăng, vận hành phức tạp. PostgreSQL 1-database giải quyết trọn vẹn.</w:t>
      </w:r>
    </w:p>
    <w:p>
      <w:pPr>
        <w:pStyle w:val="Heading1"/>
      </w:pPr>
      <w:r>
        <w:rPr>
          <w:color w:val="1F4E79"/>
        </w:rPr>
        <w:t>3. Embedding: OpenAI vs aibox</w:t>
      </w:r>
    </w:p>
    <w:tbl>
      <w:tblPr>
        <w:tblStyle w:val="LightGrid-Accent1"/>
        <w:tblW w:type="auto" w:w="0"/>
        <w:jc w:val="center"/>
        <w:tblLook w:firstColumn="1" w:firstRow="1" w:lastColumn="0" w:lastRow="0" w:noHBand="0" w:noVBand="1" w:val="04A0"/>
      </w:tblPr>
      <w:tblGrid>
        <w:gridCol w:w="2880"/>
        <w:gridCol w:w="2880"/>
        <w:gridCol w:w="2880"/>
      </w:tblGrid>
      <w:tr>
        <w:tc>
          <w:tcPr>
            <w:tcW w:type="dxa" w:w="1984"/>
            <w:shd w:val="clear" w:fill="1F4E79"/>
          </w:tcPr>
          <w:p>
            <w:r/>
            <w:r>
              <w:rPr>
                <w:b/>
                <w:color w:val="FFFFFF"/>
              </w:rPr>
              <w:t>Tiêu chí</w:t>
            </w:r>
          </w:p>
        </w:tc>
        <w:tc>
          <w:tcPr>
            <w:tcW w:type="dxa" w:w="3685"/>
            <w:shd w:val="clear" w:fill="1F4E79"/>
          </w:tcPr>
          <w:p>
            <w:r/>
            <w:r>
              <w:rPr>
                <w:b/>
                <w:color w:val="FFFFFF"/>
              </w:rPr>
              <w:t>OpenAI text-embedding-3-small</w:t>
            </w:r>
          </w:p>
        </w:tc>
        <w:tc>
          <w:tcPr>
            <w:tcW w:type="dxa" w:w="3685"/>
            <w:shd w:val="clear" w:fill="1F4E79"/>
          </w:tcPr>
          <w:p>
            <w:r/>
            <w:r>
              <w:rPr>
                <w:b/>
                <w:color w:val="FFFFFF"/>
              </w:rPr>
              <w:t>aibox text-embedding-v4 (đã chọn)</w:t>
            </w:r>
          </w:p>
        </w:tc>
      </w:tr>
      <w:tr>
        <w:tc>
          <w:tcPr>
            <w:tcW w:type="dxa" w:w="1984"/>
          </w:tcPr>
          <w:p>
            <w:r>
              <w:t>Giá</w:t>
            </w:r>
          </w:p>
        </w:tc>
        <w:tc>
          <w:tcPr>
            <w:tcW w:type="dxa" w:w="3685"/>
          </w:tcPr>
          <w:p>
            <w:r>
              <w:t>$0.02/1M token (rẻ)</w:t>
            </w:r>
          </w:p>
        </w:tc>
        <w:tc>
          <w:tcPr>
            <w:tcW w:type="dxa" w:w="3685"/>
          </w:tcPr>
          <w:p>
            <w:r>
              <w:t>Thanh toán VNĐ, giá phải báo giá — thường tương đương hoặc rẻ hơn</w:t>
            </w:r>
          </w:p>
        </w:tc>
      </w:tr>
      <w:tr>
        <w:tc>
          <w:tcPr>
            <w:tcW w:type="dxa" w:w="1984"/>
          </w:tcPr>
          <w:p>
            <w:r>
              <w:t>Chiều vector</w:t>
            </w:r>
          </w:p>
        </w:tc>
        <w:tc>
          <w:tcPr>
            <w:tcW w:type="dxa" w:w="3685"/>
          </w:tcPr>
          <w:p>
            <w:r>
              <w:t>1536</w:t>
            </w:r>
          </w:p>
        </w:tc>
        <w:tc>
          <w:tcPr>
            <w:tcW w:type="dxa" w:w="3685"/>
          </w:tcPr>
          <w:p>
            <w:r>
              <w:t>1024 (nhỏ hơn = nhanh hơn, rẻ hơn)</w:t>
            </w:r>
          </w:p>
        </w:tc>
      </w:tr>
      <w:tr>
        <w:tc>
          <w:tcPr>
            <w:tcW w:type="dxa" w:w="1984"/>
          </w:tcPr>
          <w:p>
            <w:r>
              <w:t>Chất lượng tiếng Việt</w:t>
            </w:r>
          </w:p>
        </w:tc>
        <w:tc>
          <w:tcPr>
            <w:tcW w:type="dxa" w:w="3685"/>
          </w:tcPr>
          <w:p>
            <w:r>
              <w:t>Tối ưu tiếng Anh (MTEB 62.3% — benchmark tiếng Anh)</w:t>
            </w:r>
          </w:p>
        </w:tc>
        <w:tc>
          <w:tcPr>
            <w:tcW w:type="dxa" w:w="3685"/>
          </w:tcPr>
          <w:p>
            <w:r>
              <w:t>Tối ưu tiếng Việt (nhà cung cấp Việt Nam)</w:t>
            </w:r>
          </w:p>
        </w:tc>
      </w:tr>
      <w:tr>
        <w:tc>
          <w:tcPr>
            <w:tcW w:type="dxa" w:w="1984"/>
          </w:tcPr>
          <w:p>
            <w:r>
              <w:t>Dữ liệu</w:t>
            </w:r>
          </w:p>
        </w:tc>
        <w:tc>
          <w:tcPr>
            <w:tcW w:type="dxa" w:w="3685"/>
          </w:tcPr>
          <w:p>
            <w:r>
              <w:t>Gửi sang máy chủ OpenAI (Mỹ)</w:t>
            </w:r>
          </w:p>
        </w:tc>
        <w:tc>
          <w:tcPr>
            <w:tcW w:type="dxa" w:w="3685"/>
          </w:tcPr>
          <w:p>
            <w:r>
              <w:t>Xử lý trong nước</w:t>
            </w:r>
          </w:p>
        </w:tc>
      </w:tr>
      <w:tr>
        <w:tc>
          <w:tcPr>
            <w:tcW w:type="dxa" w:w="1984"/>
          </w:tcPr>
          <w:p>
            <w:r>
              <w:t>Thanh toán</w:t>
            </w:r>
          </w:p>
        </w:tc>
        <w:tc>
          <w:tcPr>
            <w:tcW w:type="dxa" w:w="3685"/>
          </w:tcPr>
          <w:p>
            <w:r>
              <w:t>Cần thẻ quốc tế, USD</w:t>
            </w:r>
          </w:p>
        </w:tc>
        <w:tc>
          <w:tcPr>
            <w:tcW w:type="dxa" w:w="3685"/>
          </w:tcPr>
          <w:p>
            <w:r>
              <w:t>VNĐ, đơn giản</w:t>
            </w:r>
          </w:p>
        </w:tc>
      </w:tr>
    </w:tbl>
    <w:p/>
    <w:p>
      <w:r>
        <w:rPr>
          <w:b/>
          <w:i w:val="0"/>
        </w:rPr>
        <w:t>ĐIỂM BẮT BUỘC PHẢI BIẾT: embedding là thứ KHÓ đổi sau khi đã chạy — đổi model = phải mã hóa lại TOÀN BỘ dữ liệu (re-embed). Nên quyết định 1 lần từ đầu cho đúng. Với tài liệu pháp lý tiếng Việt, aibox hợp lý hơn OpenAI vì chất lượng tiếng Việt + dữ liệu ở trong nước.</w:t>
      </w:r>
    </w:p>
    <w:p>
      <w:pPr>
        <w:pStyle w:val="Heading1"/>
      </w:pPr>
      <w:r>
        <w:rPr>
          <w:color w:val="1F4E79"/>
        </w:rPr>
        <w:t>4. Trí tuệ truy hồi: LightRAG vs RAG cổ điển</w:t>
      </w:r>
    </w:p>
    <w:tbl>
      <w:tblPr>
        <w:tblStyle w:val="LightGrid-Accent1"/>
        <w:tblW w:type="auto" w:w="0"/>
        <w:jc w:val="center"/>
        <w:tblLook w:firstColumn="1" w:firstRow="1" w:lastColumn="0" w:lastRow="0" w:noHBand="0" w:noVBand="1" w:val="04A0"/>
      </w:tblPr>
      <w:tblGrid>
        <w:gridCol w:w="2880"/>
        <w:gridCol w:w="2880"/>
        <w:gridCol w:w="2880"/>
      </w:tblGrid>
      <w:tr>
        <w:tc>
          <w:tcPr>
            <w:tcW w:type="dxa" w:w="2835"/>
            <w:shd w:val="clear" w:fill="1F4E79"/>
          </w:tcPr>
          <w:p>
            <w:r/>
            <w:r>
              <w:rPr>
                <w:b/>
                <w:color w:val="FFFFFF"/>
              </w:rPr>
              <w:t>Tiêu chí</w:t>
            </w:r>
          </w:p>
        </w:tc>
        <w:tc>
          <w:tcPr>
            <w:tcW w:type="dxa" w:w="3118"/>
            <w:shd w:val="clear" w:fill="1F4E79"/>
          </w:tcPr>
          <w:p>
            <w:r/>
            <w:r>
              <w:rPr>
                <w:b/>
                <w:color w:val="FFFFFF"/>
              </w:rPr>
              <w:t>RAG cổ điển (chunk → embed → vector DB)</w:t>
            </w:r>
          </w:p>
        </w:tc>
        <w:tc>
          <w:tcPr>
            <w:tcW w:type="dxa" w:w="3402"/>
            <w:shd w:val="clear" w:fill="1F4E79"/>
          </w:tcPr>
          <w:p>
            <w:r/>
            <w:r>
              <w:rPr>
                <w:b/>
                <w:color w:val="FFFFFF"/>
              </w:rPr>
              <w:t>LightRAG (đã chọn)</w:t>
            </w:r>
          </w:p>
        </w:tc>
      </w:tr>
      <w:tr>
        <w:tc>
          <w:tcPr>
            <w:tcW w:type="dxa" w:w="2835"/>
          </w:tcPr>
          <w:p>
            <w:r>
              <w:t>Hiểu liên hệ chéo văn bản?</w:t>
            </w:r>
          </w:p>
        </w:tc>
        <w:tc>
          <w:tcPr>
            <w:tcW w:type="dxa" w:w="3118"/>
          </w:tcPr>
          <w:p>
            <w:r>
              <w:t>KHÔNG — mỗi đoạn tách rời</w:t>
            </w:r>
          </w:p>
        </w:tc>
        <w:tc>
          <w:tcPr>
            <w:tcW w:type="dxa" w:w="3402"/>
          </w:tcPr>
          <w:p>
            <w:r>
              <w:t>CÓ — xây đồ thị entity + quan hệ</w:t>
            </w:r>
          </w:p>
        </w:tc>
      </w:tr>
      <w:tr>
        <w:tc>
          <w:tcPr>
            <w:tcW w:type="dxa" w:w="2835"/>
          </w:tcPr>
          <w:p>
            <w:r>
              <w:t>Cập nhật dữ liệu</w:t>
            </w:r>
          </w:p>
        </w:tc>
        <w:tc>
          <w:tcPr>
            <w:tcW w:type="dxa" w:w="3118"/>
          </w:tcPr>
          <w:p>
            <w:r>
              <w:t>Phải dựng lại toàn bộ khi đổi dữ liệu</w:t>
            </w:r>
          </w:p>
        </w:tc>
        <w:tc>
          <w:tcPr>
            <w:tcW w:type="dxa" w:w="3402"/>
          </w:tcPr>
          <w:p>
            <w:r>
              <w:t>Merge từng phần — thêm mới không dựng lại</w:t>
            </w:r>
          </w:p>
        </w:tc>
      </w:tr>
      <w:tr>
        <w:tc>
          <w:tcPr>
            <w:tcW w:type="dxa" w:w="2835"/>
          </w:tcPr>
          <w:p>
            <w:r>
              <w:t>Chất lượng pháp lý (benchmark)</w:t>
            </w:r>
          </w:p>
        </w:tc>
        <w:tc>
          <w:tcPr>
            <w:tcW w:type="dxa" w:w="3118"/>
          </w:tcPr>
          <w:p>
            <w:r>
              <w:t>15-40%</w:t>
            </w:r>
          </w:p>
        </w:tc>
        <w:tc>
          <w:tcPr>
            <w:tcW w:type="dxa" w:w="3402"/>
          </w:tcPr>
          <w:p>
            <w:r>
              <w:t>84.8% (benchmark 2025-2026)</w:t>
            </w:r>
          </w:p>
        </w:tc>
      </w:tr>
      <w:tr>
        <w:tc>
          <w:tcPr>
            <w:tcW w:type="dxa" w:w="2835"/>
          </w:tcPr>
          <w:p>
            <w:r>
              <w:t>Hợp chu kỳ cập nhật?</w:t>
            </w:r>
          </w:p>
        </w:tc>
        <w:tc>
          <w:tcPr>
            <w:tcW w:type="dxa" w:w="3118"/>
          </w:tcPr>
          <w:p>
            <w:r>
              <w:t>Kém — giá đổi theo chiến dịch, pháp lý đổi 6 tháng</w:t>
            </w:r>
          </w:p>
        </w:tc>
        <w:tc>
          <w:tcPr>
            <w:tcW w:type="dxa" w:w="3402"/>
          </w:tcPr>
          <w:p>
            <w:r>
              <w:t>Rất hợp — cập nhật nhanh, từng loại riêng</w:t>
            </w:r>
          </w:p>
        </w:tc>
      </w:tr>
    </w:tbl>
    <w:p/>
    <w:p>
      <w:r>
        <w:rPr>
          <w:b w:val="0"/>
          <w:i w:val="0"/>
        </w:rPr>
        <w:t>Vì công ty cần cập nhật GIÁ theo chiến dịch và PHÁP LÝ theo đợt, LightRAG cho phép cập nhật từng phần mà không dựng lại hệ thống — RAG cổ điển (cách dùng Pinecone phổ biến) phải xây lại toàn bộ mỗi lần đổi dữ liệu.</w:t>
      </w:r>
    </w:p>
    <w:p>
      <w:pPr>
        <w:pStyle w:val="Heading1"/>
      </w:pPr>
      <w:r>
        <w:rPr>
          <w:color w:val="1F4E79"/>
        </w:rPr>
        <w:t>5. Nếu sếp vẫn muốn dùng Pinecone + OpenAI — phương án trung gian</w:t>
      </w:r>
    </w:p>
    <w:p>
      <w:pPr>
        <w:pStyle w:val="ListBullet"/>
      </w:pPr>
      <w:r>
        <w:rPr>
          <w:b/>
        </w:rPr>
        <w:t xml:space="preserve">Về Pinecone: </w:t>
      </w:r>
      <w:r>
        <w:t>Nếu sếp đang trả phí Pinecone sẵn: có thể dùng Pinecone cho nhánh vector VÀ giữ PostgreSQL cho nhánh đồ thị — nhưng đây là 2 hệ thống song song, sao lưu phức tạp, không khuyến khích.</w:t>
      </w:r>
    </w:p>
    <w:p>
      <w:pPr>
        <w:pStyle w:val="ListBullet"/>
      </w:pPr>
      <w:r>
        <w:rPr>
          <w:b/>
        </w:rPr>
        <w:t xml:space="preserve">Về OpenAI: </w:t>
      </w:r>
      <w:r>
        <w:t>Nếu công ty đã có sẵn API key OpenAI: vẫn có thể dùng cho embedding, nhưng cần chấp nhận (a) tiếng Việt kém hơn aibox, (b) dữ liệu pháp lý gửi sang Mỹ, (c) nếu sau này đổi sang aibox = phải mã hóa lại toàn bộ.</w:t>
      </w:r>
    </w:p>
    <w:p>
      <w:pPr>
        <w:pStyle w:val="ListBullet"/>
      </w:pPr>
      <w:r>
        <w:rPr>
          <w:b/>
        </w:rPr>
        <w:t xml:space="preserve">Kiến nghị: </w:t>
      </w:r>
      <w:r>
        <w:t>QUYẾT ĐỊNH ĐỀ XUẤT: giữ PostgreSQL + aibox + LightRAG cho MVP — rẻ nhất, 1 hệ thống, dữ liệu trong nước, tiếng Việt chuẩn. Nếu có lý do chiến lược bắt buộc dùng Pinecone/OpenAI, nêu rõ để đội kỹ thuật đánh giá lại chi phí chuyển đổi.</w:t>
      </w:r>
    </w:p>
    <w:p>
      <w:pPr>
        <w:pStyle w:val="Heading1"/>
      </w:pPr>
      <w:r>
        <w:rPr>
          <w:color w:val="1F4E79"/>
        </w:rPr>
        <w:t>6. Tổng chi phí so sánh (đã chọn vs phương án cũ)</w:t>
      </w:r>
    </w:p>
    <w:tbl>
      <w:tblPr>
        <w:tblStyle w:val="LightGrid-Accent1"/>
        <w:tblW w:type="auto" w:w="0"/>
        <w:jc w:val="center"/>
        <w:tblLook w:firstColumn="1" w:firstRow="1" w:lastColumn="0" w:lastRow="0" w:noHBand="0" w:noVBand="1" w:val="04A0"/>
      </w:tblPr>
      <w:tblGrid>
        <w:gridCol w:w="2880"/>
        <w:gridCol w:w="2880"/>
        <w:gridCol w:w="2880"/>
      </w:tblGrid>
      <w:tr>
        <w:tc>
          <w:tcPr>
            <w:tcW w:type="dxa" w:w="1984"/>
            <w:shd w:val="clear" w:fill="1F4E79"/>
          </w:tcPr>
          <w:p>
            <w:r/>
            <w:r>
              <w:rPr>
                <w:b/>
                <w:color w:val="FFFFFF"/>
              </w:rPr>
              <w:t>Khoản mục</w:t>
            </w:r>
          </w:p>
        </w:tc>
        <w:tc>
          <w:tcPr>
            <w:tcW w:type="dxa" w:w="3685"/>
            <w:shd w:val="clear" w:fill="1F4E79"/>
          </w:tcPr>
          <w:p>
            <w:r/>
            <w:r>
              <w:rPr>
                <w:b/>
                <w:color w:val="FFFFFF"/>
              </w:rPr>
              <w:t>Đã chọn (PG + aibox)</w:t>
            </w:r>
          </w:p>
        </w:tc>
        <w:tc>
          <w:tcPr>
            <w:tcW w:type="dxa" w:w="3685"/>
            <w:shd w:val="clear" w:fill="1F4E79"/>
          </w:tcPr>
          <w:p>
            <w:r/>
            <w:r>
              <w:rPr>
                <w:b/>
                <w:color w:val="FFFFFF"/>
              </w:rPr>
              <w:t>Phương án cũ (Pinecone + OpenAI)</w:t>
            </w:r>
          </w:p>
        </w:tc>
      </w:tr>
      <w:tr>
        <w:tc>
          <w:tcPr>
            <w:tcW w:type="dxa" w:w="1984"/>
          </w:tcPr>
          <w:p>
            <w:r>
              <w:t>Lưu trữ</w:t>
            </w:r>
          </w:p>
        </w:tc>
        <w:tc>
          <w:tcPr>
            <w:tcW w:type="dxa" w:w="3685"/>
          </w:tcPr>
          <w:p>
            <w:r>
              <w:t>0đ — trong VPS 235-315k/tháng</w:t>
            </w:r>
          </w:p>
        </w:tc>
        <w:tc>
          <w:tcPr>
            <w:tcW w:type="dxa" w:w="3685"/>
          </w:tcPr>
          <w:p>
            <w:r>
              <w:t>0đ (free tier) NHƯNG khi vượt → $50/tháng ~1.3tr</w:t>
            </w:r>
          </w:p>
        </w:tc>
      </w:tr>
      <w:tr>
        <w:tc>
          <w:tcPr>
            <w:tcW w:type="dxa" w:w="1984"/>
          </w:tcPr>
          <w:p>
            <w:r>
              <w:t>Embedding</w:t>
            </w:r>
          </w:p>
        </w:tc>
        <w:tc>
          <w:tcPr>
            <w:tcW w:type="dxa" w:w="3685"/>
          </w:tcPr>
          <w:p>
            <w:r>
              <w:t>aibox v4 (VNĐ, giá rẻ)</w:t>
            </w:r>
          </w:p>
        </w:tc>
        <w:tc>
          <w:tcPr>
            <w:tcW w:type="dxa" w:w="3685"/>
          </w:tcPr>
          <w:p>
            <w:r>
              <w:t>OpenAI $0.02/1M token (phải thẻ quốc tế)</w:t>
            </w:r>
          </w:p>
        </w:tc>
      </w:tr>
      <w:tr>
        <w:tc>
          <w:tcPr>
            <w:tcW w:type="dxa" w:w="1984"/>
          </w:tcPr>
          <w:p>
            <w:r>
              <w:t>Vị trí dữ liệu</w:t>
            </w:r>
          </w:p>
        </w:tc>
        <w:tc>
          <w:tcPr>
            <w:tcW w:type="dxa" w:w="3685"/>
          </w:tcPr>
          <w:p>
            <w:r>
              <w:t>Trong nước (Đà Nẵng)</w:t>
            </w:r>
          </w:p>
        </w:tc>
        <w:tc>
          <w:tcPr>
            <w:tcW w:type="dxa" w:w="3685"/>
          </w:tcPr>
          <w:p>
            <w:r>
              <w:t>Mỹ (us-east-1), latency cao</w:t>
            </w:r>
          </w:p>
        </w:tc>
      </w:tr>
      <w:tr>
        <w:tc>
          <w:tcPr>
            <w:tcW w:type="dxa" w:w="1984"/>
          </w:tcPr>
          <w:p>
            <w:r>
              <w:t>Backup</w:t>
            </w:r>
          </w:p>
        </w:tc>
        <w:tc>
          <w:tcPr>
            <w:tcW w:type="dxa" w:w="3685"/>
          </w:tcPr>
          <w:p>
            <w:r>
              <w:t>1 lệnh pg_dump</w:t>
            </w:r>
          </w:p>
        </w:tc>
        <w:tc>
          <w:tcPr>
            <w:tcW w:type="dxa" w:w="3685"/>
          </w:tcPr>
          <w:p>
            <w:r>
              <w:t>Nhiều hệ thống, phức tạp</w:t>
            </w:r>
          </w:p>
        </w:tc>
      </w:tr>
      <w:tr>
        <w:tc>
          <w:tcPr>
            <w:tcW w:type="dxa" w:w="1984"/>
          </w:tcPr>
          <w:p>
            <w:r>
              <w:t>Tổng vận hành</w:t>
            </w:r>
          </w:p>
        </w:tc>
        <w:tc>
          <w:tcPr>
            <w:tcW w:type="dxa" w:w="3685"/>
          </w:tcPr>
          <w:p>
            <w:r>
              <w:t>~350-600k/tháng</w:t>
            </w:r>
          </w:p>
        </w:tc>
        <w:tc>
          <w:tcPr>
            <w:tcW w:type="dxa" w:w="3685"/>
          </w:tcPr>
          <w:p>
            <w:r>
              <w:t>~1.500-1.800k/tháng khi vượt free tier</w:t>
            </w:r>
          </w:p>
        </w:tc>
      </w:tr>
    </w:tbl>
    <w:p/>
    <w:p>
      <w:r>
        <w:rPr>
          <w:b w:val="0"/>
          <w:i/>
        </w:rPr>
        <w:t>Lưu ý: mọi giá phải xác nhận lại bằng báo giá chính thức của nhà cung cấp trước khi chi tiền (giá biến động theo thời điểm).</w:t>
      </w:r>
    </w:p>
    <w:p>
      <w:pPr>
        <w:pStyle w:val="Heading1"/>
      </w:pPr>
      <w:r>
        <w:rPr>
          <w:color w:val="1F4E79"/>
        </w:rPr>
        <w:t>7. Kết luận</w:t>
      </w:r>
    </w:p>
    <w:p>
      <w:r>
        <w:rPr>
          <w:b/>
          <w:i w:val="0"/>
        </w:rPr>
        <w:t>Lựa chọn PostgreSQL + aibox + LightRAG không phải vì “không biết” Pinecone/OpenAI — mà vì bài toán cụ thể này (pháp lý tiếng Việt + giá biến động + dữ liệu nhạy cảm + ngân sách hạn chế) cần: 1 hệ thống duy nhất, dữ liệu trong nước, tiếng Việt chuẩn, chi phí tối thiểu. Sẵn sàng trao đổi thêm nếu sếp muốn xem chi tiết kỹ thuật hoặc báo giá so sánh.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