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180"/>
        </w:tabs>
        <w:spacing w:line="360" w:lineRule="auto"/>
        <w:ind w:left="180" w:firstLine="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Sông Sài Gòn, con sông thành phố tôi. </w:t>
      </w:r>
    </w:p>
    <w:p w:rsidR="00000000" w:rsidDel="00000000" w:rsidP="00000000" w:rsidRDefault="00000000" w:rsidRPr="00000000" w14:paraId="00000002">
      <w:pPr>
        <w:widowControl w:val="0"/>
        <w:spacing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chiều dài hơn 80km quanh co trên địa bàn Thành Phố Hồ Chí Minh, dòng chảy sông Sài Gòn qua 3 phân đoạn với những sắc màu và tính chất rất rõ nét mang đậm tính bản địa rất cần được giữ gìn và phát huy. Các dự án quy hoạch đã định hình rõ nét từng phân đoạn dựa theo tính tự nhiên của dòng chảy và địa hình hai bên bờ.</w:t>
      </w:r>
    </w:p>
    <w:p w:rsidR="00000000" w:rsidDel="00000000" w:rsidP="00000000" w:rsidRDefault="00000000" w:rsidRPr="00000000" w14:paraId="00000003">
      <w:pPr>
        <w:widowControl w:val="0"/>
        <w:spacing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đoạn 1:</w:t>
      </w:r>
      <w:r w:rsidDel="00000000" w:rsidR="00000000" w:rsidRPr="00000000">
        <w:rPr>
          <w:rFonts w:ascii="Times New Roman" w:cs="Times New Roman" w:eastAsia="Times New Roman" w:hAnsi="Times New Roman"/>
          <w:sz w:val="26"/>
          <w:szCs w:val="26"/>
          <w:rtl w:val="0"/>
        </w:rPr>
        <w:t xml:space="preserve"> Từ Tây Ninh đến Phú Long nối Quận 12 (TP.HCM) với tỉnh Bình Dương.</w:t>
      </w:r>
    </w:p>
    <w:p w:rsidR="00000000" w:rsidDel="00000000" w:rsidP="00000000" w:rsidRDefault="00000000" w:rsidRPr="00000000" w14:paraId="00000004">
      <w:pPr>
        <w:widowControl w:val="0"/>
        <w:spacing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đoạn 2:</w:t>
      </w:r>
      <w:r w:rsidDel="00000000" w:rsidR="00000000" w:rsidRPr="00000000">
        <w:rPr>
          <w:rFonts w:ascii="Times New Roman" w:cs="Times New Roman" w:eastAsia="Times New Roman" w:hAnsi="Times New Roman"/>
          <w:sz w:val="26"/>
          <w:szCs w:val="26"/>
          <w:rtl w:val="0"/>
        </w:rPr>
        <w:t xml:space="preserve"> Từ cầu Phú Long về đến cầu Bình Triệu.</w:t>
      </w:r>
    </w:p>
    <w:p w:rsidR="00000000" w:rsidDel="00000000" w:rsidP="00000000" w:rsidRDefault="00000000" w:rsidRPr="00000000" w14:paraId="00000005">
      <w:pPr>
        <w:widowControl w:val="0"/>
        <w:spacing w:line="360" w:lineRule="auto"/>
        <w:ind w:firstLine="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đoạn 3:</w:t>
      </w:r>
      <w:r w:rsidDel="00000000" w:rsidR="00000000" w:rsidRPr="00000000">
        <w:rPr>
          <w:rFonts w:ascii="Times New Roman" w:cs="Times New Roman" w:eastAsia="Times New Roman" w:hAnsi="Times New Roman"/>
          <w:sz w:val="26"/>
          <w:szCs w:val="26"/>
          <w:rtl w:val="0"/>
        </w:rPr>
        <w:t xml:space="preserve"> Từ cầu Bình Triệu đến Trạm mũi đèn đỏ ngã ba sông Đồng Nai.</w:t>
      </w:r>
    </w:p>
    <w:p w:rsidR="00000000" w:rsidDel="00000000" w:rsidP="00000000" w:rsidRDefault="00000000" w:rsidRPr="00000000" w14:paraId="00000006">
      <w:pPr>
        <w:widowControl w:val="0"/>
        <w:spacing w:line="360" w:lineRule="auto"/>
        <w:ind w:firstLine="540"/>
        <w:jc w:val="both"/>
        <w:rPr/>
      </w:pPr>
      <w:r w:rsidDel="00000000" w:rsidR="00000000" w:rsidRPr="00000000">
        <w:rPr>
          <w:rFonts w:ascii="Times New Roman" w:cs="Times New Roman" w:eastAsia="Times New Roman" w:hAnsi="Times New Roman"/>
          <w:sz w:val="26"/>
          <w:szCs w:val="26"/>
          <w:rtl w:val="0"/>
        </w:rPr>
        <w:t xml:space="preserve">Thành Phố Hồ Chí Minh đang và sẽ tập trung thiết lập các đồ án quy hoạch trung tâm với chất lượng cao nhất qua các cuộc thi quy hoạch quốc tế, đầu tư xây dựng cơ sở hạ tầng đồng bộ với các tuyến giao thông kết nối hai bên bờ sông các tuyến giao thông công cộng hiện đại, các công trình cảnh quan lớn. Cải tạo công viên ven sông Bạch Đằng, quảng trường Thủ Thiêm, công viên hồ trung tâm Thủ Thiêm, công viên ven sông Khánh Hội, … nhằm tạo lập trung tâm đô thị hiện đại, gắn kết hài hòa với cảnh quan sông nước, gắn kết các công trình di sản đô thị đặc biệt trong khu vực trung tâm thành phố.</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