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04/11/2022 - 11/11/2022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20127642 –</w:t>
      </w:r>
      <w:r w:rsidDel="00000000" w:rsidR="00000000" w:rsidRPr="00000000">
        <w:rPr>
          <w:b w:val="1"/>
          <w:color w:val="000000"/>
          <w:rtl w:val="0"/>
        </w:rPr>
        <w:t xml:space="preserve"> Trần Dũng Tiến </w:t>
      </w:r>
      <w:r w:rsidDel="00000000" w:rsidR="00000000" w:rsidRPr="00000000">
        <w:rPr>
          <w:i w:val="1"/>
          <w:color w:val="000000"/>
          <w:rtl w:val="0"/>
        </w:rPr>
        <w:t xml:space="preserve">Project manager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7537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Anh Khôi </w:t>
      </w:r>
      <w:r w:rsidDel="00000000" w:rsidR="00000000" w:rsidRPr="00000000">
        <w:rPr>
          <w:i w:val="1"/>
          <w:color w:val="000000"/>
          <w:rtl w:val="0"/>
        </w:rPr>
        <w:t xml:space="preserve">Designer </w:t>
      </w:r>
      <w:r w:rsidDel="00000000" w:rsidR="00000000" w:rsidRPr="00000000">
        <w:rPr>
          <w:color w:val="000000"/>
          <w:rtl w:val="0"/>
        </w:rPr>
        <w:br w:type="textWrapping"/>
        <w:t xml:space="preserve">2012</w:t>
      </w:r>
      <w:r w:rsidDel="00000000" w:rsidR="00000000" w:rsidRPr="00000000">
        <w:rPr>
          <w:rtl w:val="0"/>
        </w:rPr>
        <w:t xml:space="preserve">7557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Bảo Long </w:t>
      </w:r>
      <w:r w:rsidDel="00000000" w:rsidR="00000000" w:rsidRPr="00000000">
        <w:rPr>
          <w:i w:val="1"/>
          <w:color w:val="000000"/>
          <w:rtl w:val="0"/>
        </w:rPr>
        <w:t xml:space="preserve">Architect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7287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Đinh Cao Hồng Phước </w:t>
      </w:r>
      <w:r w:rsidDel="00000000" w:rsidR="00000000" w:rsidRPr="00000000">
        <w:rPr>
          <w:i w:val="1"/>
          <w:color w:val="00000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</w:t>
      </w:r>
      <w:r w:rsidDel="00000000" w:rsidR="00000000" w:rsidRPr="00000000">
        <w:rPr>
          <w:rtl w:val="0"/>
        </w:rPr>
        <w:t xml:space="preserve">7541</w:t>
      </w:r>
      <w:r w:rsidDel="00000000" w:rsidR="00000000" w:rsidRPr="00000000">
        <w:rPr>
          <w:color w:val="000000"/>
          <w:rtl w:val="0"/>
        </w:rPr>
        <w:t xml:space="preserve">  – </w:t>
      </w:r>
      <w:r w:rsidDel="00000000" w:rsidR="00000000" w:rsidRPr="00000000">
        <w:rPr>
          <w:b w:val="1"/>
          <w:color w:val="000000"/>
          <w:rtl w:val="0"/>
        </w:rPr>
        <w:t xml:space="preserve">Nguyễn Trung Kiên</w:t>
      </w:r>
      <w:r w:rsidDel="00000000" w:rsidR="00000000" w:rsidRPr="00000000">
        <w:rPr>
          <w:color w:val="000000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gridCol w:w="1530"/>
        <w:tblGridChange w:id="0">
          <w:tblGrid>
            <w:gridCol w:w="720"/>
            <w:gridCol w:w="4608"/>
            <w:gridCol w:w="1710"/>
            <w:gridCol w:w="1692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Complete Introduction, Positioning Stakeholder and User Descriptions.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Software development plan: Complete Project Organization, risk management.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Submit the PA01.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Learn ReactJS and write JSX for Header.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Complete Product perspective.</w:t>
            </w:r>
          </w:p>
          <w:p w:rsidR="00000000" w:rsidDel="00000000" w:rsidP="00000000" w:rsidRDefault="00000000" w:rsidRPr="00000000" w14:paraId="0000001A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Learn ReactJS and write JSX for Footer.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</w:t>
            </w:r>
            <w:r w:rsidDel="00000000" w:rsidR="00000000" w:rsidRPr="00000000">
              <w:rPr>
                <w:color w:val="243f6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Complete non-functional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Software development plan: Complete introduction and project overview (project purpose, scope, objectives, assumptions and constraints, project deliverables).</w:t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Learn ReactJS and write JSX for Slider.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Complete Assumptions and Dependencies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development plan: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Complete Risk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Learn ReactJS and write JSX for Menu.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RUP_Vision: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Complete Product Features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development plan: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Complete Gantt chart, Project Estimates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Learn ReactJS and write JSX for Menu.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Issues and impacts:</w:t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enormous knowledge has been learnt in small-time.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Conflict in the idea of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tbl>
      <w:tblPr>
        <w:tblStyle w:val="Table2"/>
        <w:tblW w:w="873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tblGridChange w:id="0">
          <w:tblGrid>
            <w:gridCol w:w="720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and prepare for PA2. Finish UI Header. Learn Nodejs.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and prepare for PA2. Finish UI Footer. Learn Nodejs.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and prepare for PA2. Finish UI Slider. Learn Nodejs.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and prepare for PA2. Finish UI Menu content. Learn Nodejs.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and prepare for PA2. Finish UI Menu content. Learn Nodejs.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1"/>
        <w:spacing w:before="480" w:lineRule="auto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