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API Documentation — NimbusVault v3</w:t>
      </w:r>
    </w:p>
    <w:p>
      <w:pPr>
        <w:spacing w:after="240"/>
      </w:pPr>
      <w:r>
        <w:rPr>
          <w:i/>
          <w:iCs/>
          <w:color w:val="777777"/>
          <w:sz w:val="18"/>
          <w:szCs w:val="18"/>
        </w:rPr>
        <w:t xml:space="preserve">Version 3.2 — Updated February 18, 2026 — Platform Team</w:t>
      </w:r>
    </w:p>
    <w:p>
      <w:pPr>
        <w:pStyle w:val="Heading1"/>
      </w:pPr>
      <w:r>
        <w:t xml:space="preserve">1. Introduction</w:t>
      </w:r>
    </w:p>
    <w:p>
      <w:pPr>
        <w:spacing w:after="160"/>
      </w:pPr>
      <w:r>
        <w:t xml:space="preserve">The NimbusVault API lets you ingest documents, manage them in collections, and run semantic and hybrid searches over their content. The production base URL is https://api.nimbusvault.io/v3 and all responses are returned as UTF-8 encoded JSON.</w:t>
      </w:r>
    </w:p>
    <w:p>
      <w:pPr>
        <w:spacing w:after="160" w:before="120"/>
        <w:jc w:val="center"/>
      </w:pPr>
      <w:r>
        <w:drawing>
          <wp:inline distT="0" distB="0" distL="0" distR="0">
            <wp:extent cx="5334000" cy="2800350"/>
            <wp:effectExtent t="0" r="0" b="0" l="0"/>
            <wp:docPr id="1" name="Platform architecture" descr="Platform architecture" title="Platfor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800350"/>
                    </a:xfrm>
                    <a:prstGeom prst="rect">
                      <a:avLst/>
                    </a:prstGeom>
                  </pic:spPr>
                </pic:pic>
              </a:graphicData>
            </a:graphic>
          </wp:inline>
        </w:drawing>
      </w:r>
    </w:p>
    <w:p>
      <w:pPr>
        <w:spacing w:after="160"/>
      </w:pPr>
      <w:r>
        <w:t xml:space="preserve">As the diagram shows, requests enter through a Kong-based API Gateway, which routes to the ingestion service (asynchronous processing via a pg-boss queue) or to the query service, which resolves searches against the Qdrant vector database.</w:t>
      </w:r>
    </w:p>
    <w:p>
      <w:pPr>
        <w:pStyle w:val="Heading1"/>
      </w:pPr>
      <w:r>
        <w:t xml:space="preserve">2. Authentication</w:t>
      </w:r>
    </w:p>
    <w:p>
      <w:pPr>
        <w:spacing w:after="160"/>
      </w:pPr>
      <w:r>
        <w:t xml:space="preserve">All requests must include the Authorization header with a Bearer token. API keys are generated from the admin panel and use two prefixes depending on the environment: nv_live_ for production and nv_test_ for the testing environment (sandbox). Sandbox keys operate on isolated data and incur no billing charges.</w:t>
      </w:r>
    </w:p>
    <w:p>
      <w:pPr>
        <w:spacing w:after="160"/>
      </w:pPr>
      <w:r>
        <w:t xml:space="preserve">Keys can be scoped for read, write, or admin access. A compromised key must be rotated immediately from the panel; revocation takes effect in under 60 seconds.</w:t>
      </w:r>
    </w:p>
    <w:p>
      <w:pPr>
        <w:pStyle w:val="Heading1"/>
      </w:pPr>
      <w:r>
        <w:t xml:space="preserve">3. Rate limits</w:t>
      </w:r>
    </w:p>
    <w:p>
      <w:pPr>
        <w:spacing w:after="160"/>
      </w:pPr>
      <w:r>
        <w:t xml:space="preserve">Limits are enforced per API key and reported in the X-RateLimit-Limit, X-RateLimit-Remaining, and X-RateLimit-Reset headers. When exceeded, the API responds with HTTP status code 429.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8C9D9" w:sz="1"/>
              <w:left w:val="single" w:color="B8C9D9" w:sz="1"/>
              <w:bottom w:val="single" w:color="B8C9D9" w:sz="1"/>
              <w:right w:val="single" w:color="B8C9D9" w:sz="1"/>
            </w:tcBorders>
            <w:shd w:fill="1F5C99" w:val="clear"/>
            <w:tcMar>
              <w:top w:type="dxa" w:w="80"/>
              <w:left w:type="dxa" w:w="120"/>
              <w:bottom w:type="dxa" w:w="80"/>
              <w:right w:type="dxa" w:w="120"/>
            </w:tcMar>
          </w:tcPr>
          <w:p>
            <w:r>
              <w:rPr>
                <w:b/>
                <w:bCs/>
                <w:color w:val="FFFFFF"/>
                <w:sz w:val="20"/>
                <w:szCs w:val="20"/>
              </w:rPr>
              <w:t xml:space="preserve">Plan</w:t>
            </w:r>
          </w:p>
        </w:tc>
        <w:tc>
          <w:tcPr>
            <w:tcW w:type="dxa" w:w="3120"/>
            <w:tcBorders>
              <w:top w:val="single" w:color="B8C9D9" w:sz="1"/>
              <w:left w:val="single" w:color="B8C9D9" w:sz="1"/>
              <w:bottom w:val="single" w:color="B8C9D9" w:sz="1"/>
              <w:right w:val="single" w:color="B8C9D9" w:sz="1"/>
            </w:tcBorders>
            <w:shd w:fill="1F5C99" w:val="clear"/>
            <w:tcMar>
              <w:top w:type="dxa" w:w="80"/>
              <w:left w:type="dxa" w:w="120"/>
              <w:bottom w:type="dxa" w:w="80"/>
              <w:right w:type="dxa" w:w="120"/>
            </w:tcMar>
          </w:tcPr>
          <w:p>
            <w:r>
              <w:rPr>
                <w:b/>
                <w:bCs/>
                <w:color w:val="FFFFFF"/>
                <w:sz w:val="20"/>
                <w:szCs w:val="20"/>
              </w:rPr>
              <w:t xml:space="preserve">Requests per minute</w:t>
            </w:r>
          </w:p>
        </w:tc>
        <w:tc>
          <w:tcPr>
            <w:tcW w:type="dxa" w:w="3120"/>
            <w:tcBorders>
              <w:top w:val="single" w:color="B8C9D9" w:sz="1"/>
              <w:left w:val="single" w:color="B8C9D9" w:sz="1"/>
              <w:bottom w:val="single" w:color="B8C9D9" w:sz="1"/>
              <w:right w:val="single" w:color="B8C9D9" w:sz="1"/>
            </w:tcBorders>
            <w:shd w:fill="1F5C99" w:val="clear"/>
            <w:tcMar>
              <w:top w:type="dxa" w:w="80"/>
              <w:left w:type="dxa" w:w="120"/>
              <w:bottom w:type="dxa" w:w="80"/>
              <w:right w:type="dxa" w:w="120"/>
            </w:tcMar>
          </w:tcPr>
          <w:p>
            <w:r>
              <w:rPr>
                <w:b/>
                <w:bCs/>
                <w:color w:val="FFFFFF"/>
                <w:sz w:val="20"/>
                <w:szCs w:val="20"/>
              </w:rPr>
              <w:t xml:space="preserve">Daily ingestion (documents)</w:t>
            </w:r>
          </w:p>
        </w:tc>
      </w:tr>
      <w:tr>
        <w:trPr>
          <w:tblHeader w:val="false"/>
        </w:trPr>
        <w:tc>
          <w:tcPr>
            <w:tcW w:type="dxa" w:w="312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tcPr>
          <w:p>
            <w:r>
              <w:rPr>
                <w:b w:val="false"/>
                <w:bCs w:val="false"/>
                <w:color w:val="000000"/>
                <w:sz w:val="20"/>
                <w:szCs w:val="20"/>
              </w:rPr>
              <w:t xml:space="preserve">Starter</w:t>
            </w:r>
          </w:p>
        </w:tc>
        <w:tc>
          <w:tcPr>
            <w:tcW w:type="dxa" w:w="312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tcPr>
          <w:p>
            <w:r>
              <w:rPr>
                <w:b w:val="false"/>
                <w:bCs w:val="false"/>
                <w:color w:val="000000"/>
                <w:sz w:val="20"/>
                <w:szCs w:val="20"/>
              </w:rPr>
              <w:t xml:space="preserve">60</w:t>
            </w:r>
          </w:p>
        </w:tc>
        <w:tc>
          <w:tcPr>
            <w:tcW w:type="dxa" w:w="312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tcPr>
          <w:p>
            <w:r>
              <w:rPr>
                <w:b w:val="false"/>
                <w:bCs w:val="false"/>
                <w:color w:val="000000"/>
                <w:sz w:val="20"/>
                <w:szCs w:val="20"/>
              </w:rPr>
              <w:t xml:space="preserve">1,000</w:t>
            </w:r>
          </w:p>
        </w:tc>
      </w:tr>
      <w:tr>
        <w:trPr>
          <w:tblHeader w:val="false"/>
        </w:trPr>
        <w:tc>
          <w:tcPr>
            <w:tcW w:type="dxa" w:w="3120"/>
            <w:tcBorders>
              <w:top w:val="single" w:color="B8C9D9" w:sz="1"/>
              <w:left w:val="single" w:color="B8C9D9" w:sz="1"/>
              <w:bottom w:val="single" w:color="B8C9D9" w:sz="1"/>
              <w:right w:val="single" w:color="B8C9D9" w:sz="1"/>
            </w:tcBorders>
            <w:shd w:fill="EEF4FA" w:val="clear"/>
            <w:tcMar>
              <w:top w:type="dxa" w:w="80"/>
              <w:left w:type="dxa" w:w="120"/>
              <w:bottom w:type="dxa" w:w="80"/>
              <w:right w:type="dxa" w:w="120"/>
            </w:tcMar>
          </w:tcPr>
          <w:p>
            <w:r>
              <w:rPr>
                <w:b w:val="false"/>
                <w:bCs w:val="false"/>
                <w:color w:val="000000"/>
                <w:sz w:val="20"/>
                <w:szCs w:val="20"/>
              </w:rPr>
              <w:t xml:space="preserve">Pro</w:t>
            </w:r>
          </w:p>
        </w:tc>
        <w:tc>
          <w:tcPr>
            <w:tcW w:type="dxa" w:w="3120"/>
            <w:tcBorders>
              <w:top w:val="single" w:color="B8C9D9" w:sz="1"/>
              <w:left w:val="single" w:color="B8C9D9" w:sz="1"/>
              <w:bottom w:val="single" w:color="B8C9D9" w:sz="1"/>
              <w:right w:val="single" w:color="B8C9D9" w:sz="1"/>
            </w:tcBorders>
            <w:shd w:fill="EEF4FA" w:val="clear"/>
            <w:tcMar>
              <w:top w:type="dxa" w:w="80"/>
              <w:left w:type="dxa" w:w="120"/>
              <w:bottom w:type="dxa" w:w="80"/>
              <w:right w:type="dxa" w:w="120"/>
            </w:tcMar>
          </w:tcPr>
          <w:p>
            <w:r>
              <w:rPr>
                <w:b w:val="false"/>
                <w:bCs w:val="false"/>
                <w:color w:val="000000"/>
                <w:sz w:val="20"/>
                <w:szCs w:val="20"/>
              </w:rPr>
              <w:t xml:space="preserve">600</w:t>
            </w:r>
          </w:p>
        </w:tc>
        <w:tc>
          <w:tcPr>
            <w:tcW w:type="dxa" w:w="3120"/>
            <w:tcBorders>
              <w:top w:val="single" w:color="B8C9D9" w:sz="1"/>
              <w:left w:val="single" w:color="B8C9D9" w:sz="1"/>
              <w:bottom w:val="single" w:color="B8C9D9" w:sz="1"/>
              <w:right w:val="single" w:color="B8C9D9" w:sz="1"/>
            </w:tcBorders>
            <w:shd w:fill="EEF4FA" w:val="clear"/>
            <w:tcMar>
              <w:top w:type="dxa" w:w="80"/>
              <w:left w:type="dxa" w:w="120"/>
              <w:bottom w:type="dxa" w:w="80"/>
              <w:right w:type="dxa" w:w="120"/>
            </w:tcMar>
          </w:tcPr>
          <w:p>
            <w:r>
              <w:rPr>
                <w:b w:val="false"/>
                <w:bCs w:val="false"/>
                <w:color w:val="000000"/>
                <w:sz w:val="20"/>
                <w:szCs w:val="20"/>
              </w:rPr>
              <w:t xml:space="preserve">20,000</w:t>
            </w:r>
          </w:p>
        </w:tc>
      </w:tr>
      <w:tr>
        <w:trPr>
          <w:tblHeader w:val="false"/>
        </w:trPr>
        <w:tc>
          <w:tcPr>
            <w:tcW w:type="dxa" w:w="312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tcPr>
          <w:p>
            <w:r>
              <w:rPr>
                <w:b w:val="false"/>
                <w:bCs w:val="false"/>
                <w:color w:val="000000"/>
                <w:sz w:val="20"/>
                <w:szCs w:val="20"/>
              </w:rPr>
              <w:t xml:space="preserve">Enterprise</w:t>
            </w:r>
          </w:p>
        </w:tc>
        <w:tc>
          <w:tcPr>
            <w:tcW w:type="dxa" w:w="312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tcPr>
          <w:p>
            <w:r>
              <w:rPr>
                <w:b w:val="false"/>
                <w:bCs w:val="false"/>
                <w:color w:val="000000"/>
                <w:sz w:val="20"/>
                <w:szCs w:val="20"/>
              </w:rPr>
              <w:t xml:space="preserve">3,000</w:t>
            </w:r>
          </w:p>
        </w:tc>
        <w:tc>
          <w:tcPr>
            <w:tcW w:type="dxa" w:w="312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tcPr>
          <w:p>
            <w:r>
              <w:rPr>
                <w:b w:val="false"/>
                <w:bCs w:val="false"/>
                <w:color w:val="000000"/>
                <w:sz w:val="20"/>
                <w:szCs w:val="20"/>
              </w:rPr>
              <w:t xml:space="preserve">Unlimited (fair use)</w:t>
            </w:r>
          </w:p>
        </w:tc>
      </w:tr>
    </w:tbl>
    <w:p>
      <w:pPr>
        <w:spacing w:after="160"/>
      </w:pPr>
      <w:r>
        <w:t xml:space="preserve"/>
      </w:r>
    </w:p>
    <w:p>
      <w:r>
        <w:br w:type="page"/>
      </w:r>
    </w:p>
    <w:p>
      <w:pPr>
        <w:pStyle w:val="Heading1"/>
      </w:pPr>
      <w:r>
        <w:t xml:space="preserve">4. Main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8C9D9" w:sz="1"/>
              <w:left w:val="single" w:color="B8C9D9" w:sz="1"/>
              <w:bottom w:val="single" w:color="B8C9D9" w:sz="1"/>
              <w:right w:val="single" w:color="B8C9D9" w:sz="1"/>
            </w:tcBorders>
            <w:shd w:fill="1F5C99" w:val="clear"/>
            <w:tcMar>
              <w:top w:type="dxa" w:w="80"/>
              <w:left w:type="dxa" w:w="120"/>
              <w:bottom w:type="dxa" w:w="80"/>
              <w:right w:type="dxa" w:w="120"/>
            </w:tcMar>
          </w:tcPr>
          <w:p>
            <w:r>
              <w:rPr>
                <w:b/>
                <w:bCs/>
                <w:color w:val="FFFFFF"/>
                <w:sz w:val="20"/>
                <w:szCs w:val="20"/>
              </w:rPr>
              <w:t xml:space="preserve">Method and path</w:t>
            </w:r>
          </w:p>
        </w:tc>
        <w:tc>
          <w:tcPr>
            <w:tcW w:type="dxa" w:w="3120"/>
            <w:tcBorders>
              <w:top w:val="single" w:color="B8C9D9" w:sz="1"/>
              <w:left w:val="single" w:color="B8C9D9" w:sz="1"/>
              <w:bottom w:val="single" w:color="B8C9D9" w:sz="1"/>
              <w:right w:val="single" w:color="B8C9D9" w:sz="1"/>
            </w:tcBorders>
            <w:shd w:fill="1F5C99" w:val="clear"/>
            <w:tcMar>
              <w:top w:type="dxa" w:w="80"/>
              <w:left w:type="dxa" w:w="120"/>
              <w:bottom w:type="dxa" w:w="80"/>
              <w:right w:type="dxa" w:w="120"/>
            </w:tcMar>
          </w:tcPr>
          <w:p>
            <w:r>
              <w:rPr>
                <w:b/>
                <w:bCs/>
                <w:color w:val="FFFFFF"/>
                <w:sz w:val="20"/>
                <w:szCs w:val="20"/>
              </w:rPr>
              <w:t xml:space="preserve">Description</w:t>
            </w:r>
          </w:p>
        </w:tc>
        <w:tc>
          <w:tcPr>
            <w:tcW w:type="dxa" w:w="3120"/>
            <w:tcBorders>
              <w:top w:val="single" w:color="B8C9D9" w:sz="1"/>
              <w:left w:val="single" w:color="B8C9D9" w:sz="1"/>
              <w:bottom w:val="single" w:color="B8C9D9" w:sz="1"/>
              <w:right w:val="single" w:color="B8C9D9" w:sz="1"/>
            </w:tcBorders>
            <w:shd w:fill="1F5C99" w:val="clear"/>
            <w:tcMar>
              <w:top w:type="dxa" w:w="80"/>
              <w:left w:type="dxa" w:w="120"/>
              <w:bottom w:type="dxa" w:w="80"/>
              <w:right w:type="dxa" w:w="120"/>
            </w:tcMar>
          </w:tcPr>
          <w:p>
            <w:r>
              <w:rPr>
                <w:b/>
                <w:bCs/>
                <w:color w:val="FFFFFF"/>
                <w:sz w:val="20"/>
                <w:szCs w:val="20"/>
              </w:rPr>
              <w:t xml:space="preserve">Required scope</w:t>
            </w:r>
          </w:p>
        </w:tc>
      </w:tr>
      <w:tr>
        <w:trPr>
          <w:tblHeader w:val="false"/>
        </w:trPr>
        <w:tc>
          <w:tcPr>
            <w:tcW w:type="dxa" w:w="312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tcPr>
          <w:p>
            <w:r>
              <w:rPr>
                <w:b w:val="false"/>
                <w:bCs w:val="false"/>
                <w:color w:val="000000"/>
                <w:sz w:val="20"/>
                <w:szCs w:val="20"/>
              </w:rPr>
              <w:t xml:space="preserve">POST /documents</w:t>
            </w:r>
          </w:p>
        </w:tc>
        <w:tc>
          <w:tcPr>
            <w:tcW w:type="dxa" w:w="312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tcPr>
          <w:p>
            <w:r>
              <w:rPr>
                <w:b w:val="false"/>
                <w:bCs w:val="false"/>
                <w:color w:val="000000"/>
                <w:sz w:val="20"/>
                <w:szCs w:val="20"/>
              </w:rPr>
              <w:t xml:space="preserve">Ingests a document (file or text)</w:t>
            </w:r>
          </w:p>
        </w:tc>
        <w:tc>
          <w:tcPr>
            <w:tcW w:type="dxa" w:w="312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tcPr>
          <w:p>
            <w:r>
              <w:rPr>
                <w:b w:val="false"/>
                <w:bCs w:val="false"/>
                <w:color w:val="000000"/>
                <w:sz w:val="20"/>
                <w:szCs w:val="20"/>
              </w:rPr>
              <w:t xml:space="preserve">write</w:t>
            </w:r>
          </w:p>
        </w:tc>
      </w:tr>
      <w:tr>
        <w:trPr>
          <w:tblHeader w:val="false"/>
        </w:trPr>
        <w:tc>
          <w:tcPr>
            <w:tcW w:type="dxa" w:w="3120"/>
            <w:tcBorders>
              <w:top w:val="single" w:color="B8C9D9" w:sz="1"/>
              <w:left w:val="single" w:color="B8C9D9" w:sz="1"/>
              <w:bottom w:val="single" w:color="B8C9D9" w:sz="1"/>
              <w:right w:val="single" w:color="B8C9D9" w:sz="1"/>
            </w:tcBorders>
            <w:shd w:fill="EEF4FA" w:val="clear"/>
            <w:tcMar>
              <w:top w:type="dxa" w:w="80"/>
              <w:left w:type="dxa" w:w="120"/>
              <w:bottom w:type="dxa" w:w="80"/>
              <w:right w:type="dxa" w:w="120"/>
            </w:tcMar>
          </w:tcPr>
          <w:p>
            <w:r>
              <w:rPr>
                <w:b w:val="false"/>
                <w:bCs w:val="false"/>
                <w:color w:val="000000"/>
                <w:sz w:val="20"/>
                <w:szCs w:val="20"/>
              </w:rPr>
              <w:t xml:space="preserve">GET /documents/{id}</w:t>
            </w:r>
          </w:p>
        </w:tc>
        <w:tc>
          <w:tcPr>
            <w:tcW w:type="dxa" w:w="3120"/>
            <w:tcBorders>
              <w:top w:val="single" w:color="B8C9D9" w:sz="1"/>
              <w:left w:val="single" w:color="B8C9D9" w:sz="1"/>
              <w:bottom w:val="single" w:color="B8C9D9" w:sz="1"/>
              <w:right w:val="single" w:color="B8C9D9" w:sz="1"/>
            </w:tcBorders>
            <w:shd w:fill="EEF4FA" w:val="clear"/>
            <w:tcMar>
              <w:top w:type="dxa" w:w="80"/>
              <w:left w:type="dxa" w:w="120"/>
              <w:bottom w:type="dxa" w:w="80"/>
              <w:right w:type="dxa" w:w="120"/>
            </w:tcMar>
          </w:tcPr>
          <w:p>
            <w:r>
              <w:rPr>
                <w:b w:val="false"/>
                <w:bCs w:val="false"/>
                <w:color w:val="000000"/>
                <w:sz w:val="20"/>
                <w:szCs w:val="20"/>
              </w:rPr>
              <w:t xml:space="preserve">Retrieves metadata and processing status</w:t>
            </w:r>
          </w:p>
        </w:tc>
        <w:tc>
          <w:tcPr>
            <w:tcW w:type="dxa" w:w="3120"/>
            <w:tcBorders>
              <w:top w:val="single" w:color="B8C9D9" w:sz="1"/>
              <w:left w:val="single" w:color="B8C9D9" w:sz="1"/>
              <w:bottom w:val="single" w:color="B8C9D9" w:sz="1"/>
              <w:right w:val="single" w:color="B8C9D9" w:sz="1"/>
            </w:tcBorders>
            <w:shd w:fill="EEF4FA" w:val="clear"/>
            <w:tcMar>
              <w:top w:type="dxa" w:w="80"/>
              <w:left w:type="dxa" w:w="120"/>
              <w:bottom w:type="dxa" w:w="80"/>
              <w:right w:type="dxa" w:w="120"/>
            </w:tcMar>
          </w:tcPr>
          <w:p>
            <w:r>
              <w:rPr>
                <w:b w:val="false"/>
                <w:bCs w:val="false"/>
                <w:color w:val="000000"/>
                <w:sz w:val="20"/>
                <w:szCs w:val="20"/>
              </w:rPr>
              <w:t xml:space="preserve">read</w:t>
            </w:r>
          </w:p>
        </w:tc>
      </w:tr>
      <w:tr>
        <w:trPr>
          <w:tblHeader w:val="false"/>
        </w:trPr>
        <w:tc>
          <w:tcPr>
            <w:tcW w:type="dxa" w:w="312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tcPr>
          <w:p>
            <w:r>
              <w:rPr>
                <w:b w:val="false"/>
                <w:bCs w:val="false"/>
                <w:color w:val="000000"/>
                <w:sz w:val="20"/>
                <w:szCs w:val="20"/>
              </w:rPr>
              <w:t xml:space="preserve">DELETE /documents/{id}</w:t>
            </w:r>
          </w:p>
        </w:tc>
        <w:tc>
          <w:tcPr>
            <w:tcW w:type="dxa" w:w="312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tcPr>
          <w:p>
            <w:r>
              <w:rPr>
                <w:b w:val="false"/>
                <w:bCs w:val="false"/>
                <w:color w:val="000000"/>
                <w:sz w:val="20"/>
                <w:szCs w:val="20"/>
              </w:rPr>
              <w:t xml:space="preserve">Deletes a document and its vectors</w:t>
            </w:r>
          </w:p>
        </w:tc>
        <w:tc>
          <w:tcPr>
            <w:tcW w:type="dxa" w:w="312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tcPr>
          <w:p>
            <w:r>
              <w:rPr>
                <w:b w:val="false"/>
                <w:bCs w:val="false"/>
                <w:color w:val="000000"/>
                <w:sz w:val="20"/>
                <w:szCs w:val="20"/>
              </w:rPr>
              <w:t xml:space="preserve">write</w:t>
            </w:r>
          </w:p>
        </w:tc>
      </w:tr>
      <w:tr>
        <w:trPr>
          <w:tblHeader w:val="false"/>
        </w:trPr>
        <w:tc>
          <w:tcPr>
            <w:tcW w:type="dxa" w:w="3120"/>
            <w:tcBorders>
              <w:top w:val="single" w:color="B8C9D9" w:sz="1"/>
              <w:left w:val="single" w:color="B8C9D9" w:sz="1"/>
              <w:bottom w:val="single" w:color="B8C9D9" w:sz="1"/>
              <w:right w:val="single" w:color="B8C9D9" w:sz="1"/>
            </w:tcBorders>
            <w:shd w:fill="EEF4FA" w:val="clear"/>
            <w:tcMar>
              <w:top w:type="dxa" w:w="80"/>
              <w:left w:type="dxa" w:w="120"/>
              <w:bottom w:type="dxa" w:w="80"/>
              <w:right w:type="dxa" w:w="120"/>
            </w:tcMar>
          </w:tcPr>
          <w:p>
            <w:r>
              <w:rPr>
                <w:b w:val="false"/>
                <w:bCs w:val="false"/>
                <w:color w:val="000000"/>
                <w:sz w:val="20"/>
                <w:szCs w:val="20"/>
              </w:rPr>
              <w:t xml:space="preserve">POST /collections</w:t>
            </w:r>
          </w:p>
        </w:tc>
        <w:tc>
          <w:tcPr>
            <w:tcW w:type="dxa" w:w="3120"/>
            <w:tcBorders>
              <w:top w:val="single" w:color="B8C9D9" w:sz="1"/>
              <w:left w:val="single" w:color="B8C9D9" w:sz="1"/>
              <w:bottom w:val="single" w:color="B8C9D9" w:sz="1"/>
              <w:right w:val="single" w:color="B8C9D9" w:sz="1"/>
            </w:tcBorders>
            <w:shd w:fill="EEF4FA" w:val="clear"/>
            <w:tcMar>
              <w:top w:type="dxa" w:w="80"/>
              <w:left w:type="dxa" w:w="120"/>
              <w:bottom w:type="dxa" w:w="80"/>
              <w:right w:type="dxa" w:w="120"/>
            </w:tcMar>
          </w:tcPr>
          <w:p>
            <w:r>
              <w:rPr>
                <w:b w:val="false"/>
                <w:bCs w:val="false"/>
                <w:color w:val="000000"/>
                <w:sz w:val="20"/>
                <w:szCs w:val="20"/>
              </w:rPr>
              <w:t xml:space="preserve">Creates a document collection</w:t>
            </w:r>
          </w:p>
        </w:tc>
        <w:tc>
          <w:tcPr>
            <w:tcW w:type="dxa" w:w="3120"/>
            <w:tcBorders>
              <w:top w:val="single" w:color="B8C9D9" w:sz="1"/>
              <w:left w:val="single" w:color="B8C9D9" w:sz="1"/>
              <w:bottom w:val="single" w:color="B8C9D9" w:sz="1"/>
              <w:right w:val="single" w:color="B8C9D9" w:sz="1"/>
            </w:tcBorders>
            <w:shd w:fill="EEF4FA" w:val="clear"/>
            <w:tcMar>
              <w:top w:type="dxa" w:w="80"/>
              <w:left w:type="dxa" w:w="120"/>
              <w:bottom w:type="dxa" w:w="80"/>
              <w:right w:type="dxa" w:w="120"/>
            </w:tcMar>
          </w:tcPr>
          <w:p>
            <w:r>
              <w:rPr>
                <w:b w:val="false"/>
                <w:bCs w:val="false"/>
                <w:color w:val="000000"/>
                <w:sz w:val="20"/>
                <w:szCs w:val="20"/>
              </w:rPr>
              <w:t xml:space="preserve">write</w:t>
            </w:r>
          </w:p>
        </w:tc>
      </w:tr>
      <w:tr>
        <w:trPr>
          <w:tblHeader w:val="false"/>
        </w:trPr>
        <w:tc>
          <w:tcPr>
            <w:tcW w:type="dxa" w:w="312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tcPr>
          <w:p>
            <w:r>
              <w:rPr>
                <w:b w:val="false"/>
                <w:bCs w:val="false"/>
                <w:color w:val="000000"/>
                <w:sz w:val="20"/>
                <w:szCs w:val="20"/>
              </w:rPr>
              <w:t xml:space="preserve">POST /search</w:t>
            </w:r>
          </w:p>
        </w:tc>
        <w:tc>
          <w:tcPr>
            <w:tcW w:type="dxa" w:w="312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tcPr>
          <w:p>
            <w:r>
              <w:rPr>
                <w:b w:val="false"/>
                <w:bCs w:val="false"/>
                <w:color w:val="000000"/>
                <w:sz w:val="20"/>
                <w:szCs w:val="20"/>
              </w:rPr>
              <w:t xml:space="preserve">Runs a semantic or hybrid search</w:t>
            </w:r>
          </w:p>
        </w:tc>
        <w:tc>
          <w:tcPr>
            <w:tcW w:type="dxa" w:w="312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tcPr>
          <w:p>
            <w:r>
              <w:rPr>
                <w:b w:val="false"/>
                <w:bCs w:val="false"/>
                <w:color w:val="000000"/>
                <w:sz w:val="20"/>
                <w:szCs w:val="20"/>
              </w:rPr>
              <w:t xml:space="preserve">read</w:t>
            </w:r>
          </w:p>
        </w:tc>
      </w:tr>
      <w:tr>
        <w:trPr>
          <w:tblHeader w:val="false"/>
        </w:trPr>
        <w:tc>
          <w:tcPr>
            <w:tcW w:type="dxa" w:w="3120"/>
            <w:tcBorders>
              <w:top w:val="single" w:color="B8C9D9" w:sz="1"/>
              <w:left w:val="single" w:color="B8C9D9" w:sz="1"/>
              <w:bottom w:val="single" w:color="B8C9D9" w:sz="1"/>
              <w:right w:val="single" w:color="B8C9D9" w:sz="1"/>
            </w:tcBorders>
            <w:shd w:fill="EEF4FA" w:val="clear"/>
            <w:tcMar>
              <w:top w:type="dxa" w:w="80"/>
              <w:left w:type="dxa" w:w="120"/>
              <w:bottom w:type="dxa" w:w="80"/>
              <w:right w:type="dxa" w:w="120"/>
            </w:tcMar>
          </w:tcPr>
          <w:p>
            <w:r>
              <w:rPr>
                <w:b w:val="false"/>
                <w:bCs w:val="false"/>
                <w:color w:val="000000"/>
                <w:sz w:val="20"/>
                <w:szCs w:val="20"/>
              </w:rPr>
              <w:t xml:space="preserve">POST /webhooks</w:t>
            </w:r>
          </w:p>
        </w:tc>
        <w:tc>
          <w:tcPr>
            <w:tcW w:type="dxa" w:w="3120"/>
            <w:tcBorders>
              <w:top w:val="single" w:color="B8C9D9" w:sz="1"/>
              <w:left w:val="single" w:color="B8C9D9" w:sz="1"/>
              <w:bottom w:val="single" w:color="B8C9D9" w:sz="1"/>
              <w:right w:val="single" w:color="B8C9D9" w:sz="1"/>
            </w:tcBorders>
            <w:shd w:fill="EEF4FA" w:val="clear"/>
            <w:tcMar>
              <w:top w:type="dxa" w:w="80"/>
              <w:left w:type="dxa" w:w="120"/>
              <w:bottom w:type="dxa" w:w="80"/>
              <w:right w:type="dxa" w:w="120"/>
            </w:tcMar>
          </w:tcPr>
          <w:p>
            <w:r>
              <w:rPr>
                <w:b w:val="false"/>
                <w:bCs w:val="false"/>
                <w:color w:val="000000"/>
                <w:sz w:val="20"/>
                <w:szCs w:val="20"/>
              </w:rPr>
              <w:t xml:space="preserve">Registers an endpoint for notifications</w:t>
            </w:r>
          </w:p>
        </w:tc>
        <w:tc>
          <w:tcPr>
            <w:tcW w:type="dxa" w:w="3120"/>
            <w:tcBorders>
              <w:top w:val="single" w:color="B8C9D9" w:sz="1"/>
              <w:left w:val="single" w:color="B8C9D9" w:sz="1"/>
              <w:bottom w:val="single" w:color="B8C9D9" w:sz="1"/>
              <w:right w:val="single" w:color="B8C9D9" w:sz="1"/>
            </w:tcBorders>
            <w:shd w:fill="EEF4FA" w:val="clear"/>
            <w:tcMar>
              <w:top w:type="dxa" w:w="80"/>
              <w:left w:type="dxa" w:w="120"/>
              <w:bottom w:type="dxa" w:w="80"/>
              <w:right w:type="dxa" w:w="120"/>
            </w:tcMar>
          </w:tcPr>
          <w:p>
            <w:r>
              <w:rPr>
                <w:b w:val="false"/>
                <w:bCs w:val="false"/>
                <w:color w:val="000000"/>
                <w:sz w:val="20"/>
                <w:szCs w:val="20"/>
              </w:rPr>
              <w:t xml:space="preserve">admin</w:t>
            </w:r>
          </w:p>
        </w:tc>
      </w:tr>
    </w:tbl>
    <w:p>
      <w:pPr>
        <w:spacing w:after="160"/>
      </w:pPr>
      <w:r>
        <w:t xml:space="preserve"/>
      </w:r>
    </w:p>
    <w:p>
      <w:pPr>
        <w:pStyle w:val="Heading2"/>
      </w:pPr>
      <w:r>
        <w:t xml:space="preserve">4.1 Document ingestion</w:t>
      </w:r>
    </w:p>
    <w:p>
      <w:pPr>
        <w:spacing w:after="160"/>
      </w:pPr>
      <w:r>
        <w:t xml:space="preserve">The POST /documents endpoint accepts files up to 150 MB in PDF, DOCX, PPTX, XLSX, HTML, Markdown, and plain text formats. Processing is asynchronous: the initial response returns the 'queued' status, and the document moves through the states queued, processing, ready, or failed. Status can be checked by polling or received via the document.ready webhook.</w:t>
      </w:r>
    </w:p>
    <w:p>
      <w:pPr>
        <w:pStyle w:val="Heading2"/>
      </w:pPr>
      <w:r>
        <w:t xml:space="preserve">4.2 Search</w:t>
      </w:r>
    </w:p>
    <w:p>
      <w:pPr>
        <w:spacing w:after="160"/>
      </w:pPr>
      <w:r>
        <w:t xml:space="preserve">The POST /search endpoint accepts the modes 'semantic', 'keyword', and 'hybrid' (mode parameter; the default value is hybrid). The top_k parameter controls the number of results: the default is 10 and the maximum allowed is 100. Embeddings are computed with the in-house nimbus-embed-2 model, with 1,024 dimensions, trained with a focus on Spanish and English.</w:t>
      </w:r>
    </w:p>
    <w:p>
      <w:pPr>
        <w:pStyle w:val="Heading1"/>
      </w:pPr>
      <w:r>
        <w:t xml:space="preserve">5. Idempotency and pagination</w:t>
      </w:r>
    </w:p>
    <w:p>
      <w:pPr>
        <w:spacing w:after="160"/>
      </w:pPr>
      <w:r>
        <w:t xml:space="preserve">Write operations accept the Idempotency-Key header (a client-generated UUID) to guarantee that network retries do not duplicate operations; idempotency keys are remembered for 24 hours. Listings are paginated by cursor using the limit (maximum 200) and starting_after parameters.</w:t>
      </w:r>
    </w:p>
    <w:p>
      <w:r>
        <w:br w:type="page"/>
      </w:r>
    </w:p>
    <w:p>
      <w:pPr>
        <w:pStyle w:val="Heading1"/>
      </w:pPr>
      <w:r>
        <w:t xml:space="preserve">6. Error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8C9D9" w:sz="1"/>
              <w:left w:val="single" w:color="B8C9D9" w:sz="1"/>
              <w:bottom w:val="single" w:color="B8C9D9" w:sz="1"/>
              <w:right w:val="single" w:color="B8C9D9" w:sz="1"/>
            </w:tcBorders>
            <w:shd w:fill="1F5C99" w:val="clear"/>
            <w:tcMar>
              <w:top w:type="dxa" w:w="80"/>
              <w:left w:type="dxa" w:w="120"/>
              <w:bottom w:type="dxa" w:w="80"/>
              <w:right w:type="dxa" w:w="120"/>
            </w:tcMar>
          </w:tcPr>
          <w:p>
            <w:r>
              <w:rPr>
                <w:b/>
                <w:bCs/>
                <w:color w:val="FFFFFF"/>
                <w:sz w:val="20"/>
                <w:szCs w:val="20"/>
              </w:rPr>
              <w:t xml:space="preserve">HTTP code</w:t>
            </w:r>
          </w:p>
        </w:tc>
        <w:tc>
          <w:tcPr>
            <w:tcW w:type="dxa" w:w="3120"/>
            <w:tcBorders>
              <w:top w:val="single" w:color="B8C9D9" w:sz="1"/>
              <w:left w:val="single" w:color="B8C9D9" w:sz="1"/>
              <w:bottom w:val="single" w:color="B8C9D9" w:sz="1"/>
              <w:right w:val="single" w:color="B8C9D9" w:sz="1"/>
            </w:tcBorders>
            <w:shd w:fill="1F5C99" w:val="clear"/>
            <w:tcMar>
              <w:top w:type="dxa" w:w="80"/>
              <w:left w:type="dxa" w:w="120"/>
              <w:bottom w:type="dxa" w:w="80"/>
              <w:right w:type="dxa" w:w="120"/>
            </w:tcMar>
          </w:tcPr>
          <w:p>
            <w:r>
              <w:rPr>
                <w:b/>
                <w:bCs/>
                <w:color w:val="FFFFFF"/>
                <w:sz w:val="20"/>
                <w:szCs w:val="20"/>
              </w:rPr>
              <w:t xml:space="preserve">Internal code</w:t>
            </w:r>
          </w:p>
        </w:tc>
        <w:tc>
          <w:tcPr>
            <w:tcW w:type="dxa" w:w="3120"/>
            <w:tcBorders>
              <w:top w:val="single" w:color="B8C9D9" w:sz="1"/>
              <w:left w:val="single" w:color="B8C9D9" w:sz="1"/>
              <w:bottom w:val="single" w:color="B8C9D9" w:sz="1"/>
              <w:right w:val="single" w:color="B8C9D9" w:sz="1"/>
            </w:tcBorders>
            <w:shd w:fill="1F5C99" w:val="clear"/>
            <w:tcMar>
              <w:top w:type="dxa" w:w="80"/>
              <w:left w:type="dxa" w:w="120"/>
              <w:bottom w:type="dxa" w:w="80"/>
              <w:right w:type="dxa" w:w="120"/>
            </w:tcMar>
          </w:tcPr>
          <w:p>
            <w:r>
              <w:rPr>
                <w:b/>
                <w:bCs/>
                <w:color w:val="FFFFFF"/>
                <w:sz w:val="20"/>
                <w:szCs w:val="20"/>
              </w:rPr>
              <w:t xml:space="preserve">Meaning</w:t>
            </w:r>
          </w:p>
        </w:tc>
      </w:tr>
      <w:tr>
        <w:trPr>
          <w:tblHeader w:val="false"/>
        </w:trPr>
        <w:tc>
          <w:tcPr>
            <w:tcW w:type="dxa" w:w="312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tcPr>
          <w:p>
            <w:r>
              <w:rPr>
                <w:b w:val="false"/>
                <w:bCs w:val="false"/>
                <w:color w:val="000000"/>
                <w:sz w:val="20"/>
                <w:szCs w:val="20"/>
              </w:rPr>
              <w:t xml:space="preserve">400</w:t>
            </w:r>
          </w:p>
        </w:tc>
        <w:tc>
          <w:tcPr>
            <w:tcW w:type="dxa" w:w="312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tcPr>
          <w:p>
            <w:r>
              <w:rPr>
                <w:b w:val="false"/>
                <w:bCs w:val="false"/>
                <w:color w:val="000000"/>
                <w:sz w:val="20"/>
                <w:szCs w:val="20"/>
              </w:rPr>
              <w:t xml:space="preserve">NV-1001</w:t>
            </w:r>
          </w:p>
        </w:tc>
        <w:tc>
          <w:tcPr>
            <w:tcW w:type="dxa" w:w="312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tcPr>
          <w:p>
            <w:r>
              <w:rPr>
                <w:b w:val="false"/>
                <w:bCs w:val="false"/>
                <w:color w:val="000000"/>
                <w:sz w:val="20"/>
                <w:szCs w:val="20"/>
              </w:rPr>
              <w:t xml:space="preserve">Malformed request body</w:t>
            </w:r>
          </w:p>
        </w:tc>
      </w:tr>
      <w:tr>
        <w:trPr>
          <w:tblHeader w:val="false"/>
        </w:trPr>
        <w:tc>
          <w:tcPr>
            <w:tcW w:type="dxa" w:w="3120"/>
            <w:tcBorders>
              <w:top w:val="single" w:color="B8C9D9" w:sz="1"/>
              <w:left w:val="single" w:color="B8C9D9" w:sz="1"/>
              <w:bottom w:val="single" w:color="B8C9D9" w:sz="1"/>
              <w:right w:val="single" w:color="B8C9D9" w:sz="1"/>
            </w:tcBorders>
            <w:shd w:fill="EEF4FA" w:val="clear"/>
            <w:tcMar>
              <w:top w:type="dxa" w:w="80"/>
              <w:left w:type="dxa" w:w="120"/>
              <w:bottom w:type="dxa" w:w="80"/>
              <w:right w:type="dxa" w:w="120"/>
            </w:tcMar>
          </w:tcPr>
          <w:p>
            <w:r>
              <w:rPr>
                <w:b w:val="false"/>
                <w:bCs w:val="false"/>
                <w:color w:val="000000"/>
                <w:sz w:val="20"/>
                <w:szCs w:val="20"/>
              </w:rPr>
              <w:t xml:space="preserve">401</w:t>
            </w:r>
          </w:p>
        </w:tc>
        <w:tc>
          <w:tcPr>
            <w:tcW w:type="dxa" w:w="3120"/>
            <w:tcBorders>
              <w:top w:val="single" w:color="B8C9D9" w:sz="1"/>
              <w:left w:val="single" w:color="B8C9D9" w:sz="1"/>
              <w:bottom w:val="single" w:color="B8C9D9" w:sz="1"/>
              <w:right w:val="single" w:color="B8C9D9" w:sz="1"/>
            </w:tcBorders>
            <w:shd w:fill="EEF4FA" w:val="clear"/>
            <w:tcMar>
              <w:top w:type="dxa" w:w="80"/>
              <w:left w:type="dxa" w:w="120"/>
              <w:bottom w:type="dxa" w:w="80"/>
              <w:right w:type="dxa" w:w="120"/>
            </w:tcMar>
          </w:tcPr>
          <w:p>
            <w:r>
              <w:rPr>
                <w:b w:val="false"/>
                <w:bCs w:val="false"/>
                <w:color w:val="000000"/>
                <w:sz w:val="20"/>
                <w:szCs w:val="20"/>
              </w:rPr>
              <w:t xml:space="preserve">NV-1003</w:t>
            </w:r>
          </w:p>
        </w:tc>
        <w:tc>
          <w:tcPr>
            <w:tcW w:type="dxa" w:w="3120"/>
            <w:tcBorders>
              <w:top w:val="single" w:color="B8C9D9" w:sz="1"/>
              <w:left w:val="single" w:color="B8C9D9" w:sz="1"/>
              <w:bottom w:val="single" w:color="B8C9D9" w:sz="1"/>
              <w:right w:val="single" w:color="B8C9D9" w:sz="1"/>
            </w:tcBorders>
            <w:shd w:fill="EEF4FA" w:val="clear"/>
            <w:tcMar>
              <w:top w:type="dxa" w:w="80"/>
              <w:left w:type="dxa" w:w="120"/>
              <w:bottom w:type="dxa" w:w="80"/>
              <w:right w:type="dxa" w:w="120"/>
            </w:tcMar>
          </w:tcPr>
          <w:p>
            <w:r>
              <w:rPr>
                <w:b w:val="false"/>
                <w:bCs w:val="false"/>
                <w:color w:val="000000"/>
                <w:sz w:val="20"/>
                <w:szCs w:val="20"/>
              </w:rPr>
              <w:t xml:space="preserve">Missing or invalid API key</w:t>
            </w:r>
          </w:p>
        </w:tc>
      </w:tr>
      <w:tr>
        <w:trPr>
          <w:tblHeader w:val="false"/>
        </w:trPr>
        <w:tc>
          <w:tcPr>
            <w:tcW w:type="dxa" w:w="312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tcPr>
          <w:p>
            <w:r>
              <w:rPr>
                <w:b w:val="false"/>
                <w:bCs w:val="false"/>
                <w:color w:val="000000"/>
                <w:sz w:val="20"/>
                <w:szCs w:val="20"/>
              </w:rPr>
              <w:t xml:space="preserve">403</w:t>
            </w:r>
          </w:p>
        </w:tc>
        <w:tc>
          <w:tcPr>
            <w:tcW w:type="dxa" w:w="312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tcPr>
          <w:p>
            <w:r>
              <w:rPr>
                <w:b w:val="false"/>
                <w:bCs w:val="false"/>
                <w:color w:val="000000"/>
                <w:sz w:val="20"/>
                <w:szCs w:val="20"/>
              </w:rPr>
              <w:t xml:space="preserve">NV-1010</w:t>
            </w:r>
          </w:p>
        </w:tc>
        <w:tc>
          <w:tcPr>
            <w:tcW w:type="dxa" w:w="312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tcPr>
          <w:p>
            <w:r>
              <w:rPr>
                <w:b w:val="false"/>
                <w:bCs w:val="false"/>
                <w:color w:val="000000"/>
                <w:sz w:val="20"/>
                <w:szCs w:val="20"/>
              </w:rPr>
              <w:t xml:space="preserve">Key lacks the required scope</w:t>
            </w:r>
          </w:p>
        </w:tc>
      </w:tr>
      <w:tr>
        <w:trPr>
          <w:tblHeader w:val="false"/>
        </w:trPr>
        <w:tc>
          <w:tcPr>
            <w:tcW w:type="dxa" w:w="3120"/>
            <w:tcBorders>
              <w:top w:val="single" w:color="B8C9D9" w:sz="1"/>
              <w:left w:val="single" w:color="B8C9D9" w:sz="1"/>
              <w:bottom w:val="single" w:color="B8C9D9" w:sz="1"/>
              <w:right w:val="single" w:color="B8C9D9" w:sz="1"/>
            </w:tcBorders>
            <w:shd w:fill="EEF4FA" w:val="clear"/>
            <w:tcMar>
              <w:top w:type="dxa" w:w="80"/>
              <w:left w:type="dxa" w:w="120"/>
              <w:bottom w:type="dxa" w:w="80"/>
              <w:right w:type="dxa" w:w="120"/>
            </w:tcMar>
          </w:tcPr>
          <w:p>
            <w:r>
              <w:rPr>
                <w:b w:val="false"/>
                <w:bCs w:val="false"/>
                <w:color w:val="000000"/>
                <w:sz w:val="20"/>
                <w:szCs w:val="20"/>
              </w:rPr>
              <w:t xml:space="preserve">404</w:t>
            </w:r>
          </w:p>
        </w:tc>
        <w:tc>
          <w:tcPr>
            <w:tcW w:type="dxa" w:w="3120"/>
            <w:tcBorders>
              <w:top w:val="single" w:color="B8C9D9" w:sz="1"/>
              <w:left w:val="single" w:color="B8C9D9" w:sz="1"/>
              <w:bottom w:val="single" w:color="B8C9D9" w:sz="1"/>
              <w:right w:val="single" w:color="B8C9D9" w:sz="1"/>
            </w:tcBorders>
            <w:shd w:fill="EEF4FA" w:val="clear"/>
            <w:tcMar>
              <w:top w:type="dxa" w:w="80"/>
              <w:left w:type="dxa" w:w="120"/>
              <w:bottom w:type="dxa" w:w="80"/>
              <w:right w:type="dxa" w:w="120"/>
            </w:tcMar>
          </w:tcPr>
          <w:p>
            <w:r>
              <w:rPr>
                <w:b w:val="false"/>
                <w:bCs w:val="false"/>
                <w:color w:val="000000"/>
                <w:sz w:val="20"/>
                <w:szCs w:val="20"/>
              </w:rPr>
              <w:t xml:space="preserve">NV-1020</w:t>
            </w:r>
          </w:p>
        </w:tc>
        <w:tc>
          <w:tcPr>
            <w:tcW w:type="dxa" w:w="3120"/>
            <w:tcBorders>
              <w:top w:val="single" w:color="B8C9D9" w:sz="1"/>
              <w:left w:val="single" w:color="B8C9D9" w:sz="1"/>
              <w:bottom w:val="single" w:color="B8C9D9" w:sz="1"/>
              <w:right w:val="single" w:color="B8C9D9" w:sz="1"/>
            </w:tcBorders>
            <w:shd w:fill="EEF4FA" w:val="clear"/>
            <w:tcMar>
              <w:top w:type="dxa" w:w="80"/>
              <w:left w:type="dxa" w:w="120"/>
              <w:bottom w:type="dxa" w:w="80"/>
              <w:right w:type="dxa" w:w="120"/>
            </w:tcMar>
          </w:tcPr>
          <w:p>
            <w:r>
              <w:rPr>
                <w:b w:val="false"/>
                <w:bCs w:val="false"/>
                <w:color w:val="000000"/>
                <w:sz w:val="20"/>
                <w:szCs w:val="20"/>
              </w:rPr>
              <w:t xml:space="preserve">Resource not found</w:t>
            </w:r>
          </w:p>
        </w:tc>
      </w:tr>
      <w:tr>
        <w:trPr>
          <w:tblHeader w:val="false"/>
        </w:trPr>
        <w:tc>
          <w:tcPr>
            <w:tcW w:type="dxa" w:w="312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tcPr>
          <w:p>
            <w:r>
              <w:rPr>
                <w:b w:val="false"/>
                <w:bCs w:val="false"/>
                <w:color w:val="000000"/>
                <w:sz w:val="20"/>
                <w:szCs w:val="20"/>
              </w:rPr>
              <w:t xml:space="preserve">413</w:t>
            </w:r>
          </w:p>
        </w:tc>
        <w:tc>
          <w:tcPr>
            <w:tcW w:type="dxa" w:w="312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tcPr>
          <w:p>
            <w:r>
              <w:rPr>
                <w:b w:val="false"/>
                <w:bCs w:val="false"/>
                <w:color w:val="000000"/>
                <w:sz w:val="20"/>
                <w:szCs w:val="20"/>
              </w:rPr>
              <w:t xml:space="preserve">NV-1035</w:t>
            </w:r>
          </w:p>
        </w:tc>
        <w:tc>
          <w:tcPr>
            <w:tcW w:type="dxa" w:w="312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tcPr>
          <w:p>
            <w:r>
              <w:rPr>
                <w:b w:val="false"/>
                <w:bCs w:val="false"/>
                <w:color w:val="000000"/>
                <w:sz w:val="20"/>
                <w:szCs w:val="20"/>
              </w:rPr>
              <w:t xml:space="preserve">File exceeds 150 MB</w:t>
            </w:r>
          </w:p>
        </w:tc>
      </w:tr>
      <w:tr>
        <w:trPr>
          <w:tblHeader w:val="false"/>
        </w:trPr>
        <w:tc>
          <w:tcPr>
            <w:tcW w:type="dxa" w:w="3120"/>
            <w:tcBorders>
              <w:top w:val="single" w:color="B8C9D9" w:sz="1"/>
              <w:left w:val="single" w:color="B8C9D9" w:sz="1"/>
              <w:bottom w:val="single" w:color="B8C9D9" w:sz="1"/>
              <w:right w:val="single" w:color="B8C9D9" w:sz="1"/>
            </w:tcBorders>
            <w:shd w:fill="EEF4FA" w:val="clear"/>
            <w:tcMar>
              <w:top w:type="dxa" w:w="80"/>
              <w:left w:type="dxa" w:w="120"/>
              <w:bottom w:type="dxa" w:w="80"/>
              <w:right w:type="dxa" w:w="120"/>
            </w:tcMar>
          </w:tcPr>
          <w:p>
            <w:r>
              <w:rPr>
                <w:b w:val="false"/>
                <w:bCs w:val="false"/>
                <w:color w:val="000000"/>
                <w:sz w:val="20"/>
                <w:szCs w:val="20"/>
              </w:rPr>
              <w:t xml:space="preserve">422</w:t>
            </w:r>
          </w:p>
        </w:tc>
        <w:tc>
          <w:tcPr>
            <w:tcW w:type="dxa" w:w="3120"/>
            <w:tcBorders>
              <w:top w:val="single" w:color="B8C9D9" w:sz="1"/>
              <w:left w:val="single" w:color="B8C9D9" w:sz="1"/>
              <w:bottom w:val="single" w:color="B8C9D9" w:sz="1"/>
              <w:right w:val="single" w:color="B8C9D9" w:sz="1"/>
            </w:tcBorders>
            <w:shd w:fill="EEF4FA" w:val="clear"/>
            <w:tcMar>
              <w:top w:type="dxa" w:w="80"/>
              <w:left w:type="dxa" w:w="120"/>
              <w:bottom w:type="dxa" w:w="80"/>
              <w:right w:type="dxa" w:w="120"/>
            </w:tcMar>
          </w:tcPr>
          <w:p>
            <w:r>
              <w:rPr>
                <w:b w:val="false"/>
                <w:bCs w:val="false"/>
                <w:color w:val="000000"/>
                <w:sz w:val="20"/>
                <w:szCs w:val="20"/>
              </w:rPr>
              <w:t xml:space="preserve">NV-1042</w:t>
            </w:r>
          </w:p>
        </w:tc>
        <w:tc>
          <w:tcPr>
            <w:tcW w:type="dxa" w:w="3120"/>
            <w:tcBorders>
              <w:top w:val="single" w:color="B8C9D9" w:sz="1"/>
              <w:left w:val="single" w:color="B8C9D9" w:sz="1"/>
              <w:bottom w:val="single" w:color="B8C9D9" w:sz="1"/>
              <w:right w:val="single" w:color="B8C9D9" w:sz="1"/>
            </w:tcBorders>
            <w:shd w:fill="EEF4FA" w:val="clear"/>
            <w:tcMar>
              <w:top w:type="dxa" w:w="80"/>
              <w:left w:type="dxa" w:w="120"/>
              <w:bottom w:type="dxa" w:w="80"/>
              <w:right w:type="dxa" w:w="120"/>
            </w:tcMar>
          </w:tcPr>
          <w:p>
            <w:r>
              <w:rPr>
                <w:b w:val="false"/>
                <w:bCs w:val="false"/>
                <w:color w:val="000000"/>
                <w:sz w:val="20"/>
                <w:szCs w:val="20"/>
              </w:rPr>
              <w:t xml:space="preserve">Unsupported file format</w:t>
            </w:r>
          </w:p>
        </w:tc>
      </w:tr>
      <w:tr>
        <w:trPr>
          <w:tblHeader w:val="false"/>
        </w:trPr>
        <w:tc>
          <w:tcPr>
            <w:tcW w:type="dxa" w:w="312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tcPr>
          <w:p>
            <w:r>
              <w:rPr>
                <w:b w:val="false"/>
                <w:bCs w:val="false"/>
                <w:color w:val="000000"/>
                <w:sz w:val="20"/>
                <w:szCs w:val="20"/>
              </w:rPr>
              <w:t xml:space="preserve">429</w:t>
            </w:r>
          </w:p>
        </w:tc>
        <w:tc>
          <w:tcPr>
            <w:tcW w:type="dxa" w:w="312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tcPr>
          <w:p>
            <w:r>
              <w:rPr>
                <w:b w:val="false"/>
                <w:bCs w:val="false"/>
                <w:color w:val="000000"/>
                <w:sz w:val="20"/>
                <w:szCs w:val="20"/>
              </w:rPr>
              <w:t xml:space="preserve">NV-1050</w:t>
            </w:r>
          </w:p>
        </w:tc>
        <w:tc>
          <w:tcPr>
            <w:tcW w:type="dxa" w:w="3120"/>
            <w:tcBorders>
              <w:top w:val="single" w:color="B8C9D9" w:sz="1"/>
              <w:left w:val="single" w:color="B8C9D9" w:sz="1"/>
              <w:bottom w:val="single" w:color="B8C9D9" w:sz="1"/>
              <w:right w:val="single" w:color="B8C9D9" w:sz="1"/>
            </w:tcBorders>
            <w:shd w:fill="FFFFFF" w:val="clear"/>
            <w:tcMar>
              <w:top w:type="dxa" w:w="80"/>
              <w:left w:type="dxa" w:w="120"/>
              <w:bottom w:type="dxa" w:w="80"/>
              <w:right w:type="dxa" w:w="120"/>
            </w:tcMar>
          </w:tcPr>
          <w:p>
            <w:r>
              <w:rPr>
                <w:b w:val="false"/>
                <w:bCs w:val="false"/>
                <w:color w:val="000000"/>
                <w:sz w:val="20"/>
                <w:szCs w:val="20"/>
              </w:rPr>
              <w:t xml:space="preserve">Rate limit exceeded</w:t>
            </w:r>
          </w:p>
        </w:tc>
      </w:tr>
      <w:tr>
        <w:trPr>
          <w:tblHeader w:val="false"/>
        </w:trPr>
        <w:tc>
          <w:tcPr>
            <w:tcW w:type="dxa" w:w="3120"/>
            <w:tcBorders>
              <w:top w:val="single" w:color="B8C9D9" w:sz="1"/>
              <w:left w:val="single" w:color="B8C9D9" w:sz="1"/>
              <w:bottom w:val="single" w:color="B8C9D9" w:sz="1"/>
              <w:right w:val="single" w:color="B8C9D9" w:sz="1"/>
            </w:tcBorders>
            <w:shd w:fill="EEF4FA" w:val="clear"/>
            <w:tcMar>
              <w:top w:type="dxa" w:w="80"/>
              <w:left w:type="dxa" w:w="120"/>
              <w:bottom w:type="dxa" w:w="80"/>
              <w:right w:type="dxa" w:w="120"/>
            </w:tcMar>
          </w:tcPr>
          <w:p>
            <w:r>
              <w:rPr>
                <w:b w:val="false"/>
                <w:bCs w:val="false"/>
                <w:color w:val="000000"/>
                <w:sz w:val="20"/>
                <w:szCs w:val="20"/>
              </w:rPr>
              <w:t xml:space="preserve">500</w:t>
            </w:r>
          </w:p>
        </w:tc>
        <w:tc>
          <w:tcPr>
            <w:tcW w:type="dxa" w:w="3120"/>
            <w:tcBorders>
              <w:top w:val="single" w:color="B8C9D9" w:sz="1"/>
              <w:left w:val="single" w:color="B8C9D9" w:sz="1"/>
              <w:bottom w:val="single" w:color="B8C9D9" w:sz="1"/>
              <w:right w:val="single" w:color="B8C9D9" w:sz="1"/>
            </w:tcBorders>
            <w:shd w:fill="EEF4FA" w:val="clear"/>
            <w:tcMar>
              <w:top w:type="dxa" w:w="80"/>
              <w:left w:type="dxa" w:w="120"/>
              <w:bottom w:type="dxa" w:w="80"/>
              <w:right w:type="dxa" w:w="120"/>
            </w:tcMar>
          </w:tcPr>
          <w:p>
            <w:r>
              <w:rPr>
                <w:b w:val="false"/>
                <w:bCs w:val="false"/>
                <w:color w:val="000000"/>
                <w:sz w:val="20"/>
                <w:szCs w:val="20"/>
              </w:rPr>
              <w:t xml:space="preserve">NV-1090</w:t>
            </w:r>
          </w:p>
        </w:tc>
        <w:tc>
          <w:tcPr>
            <w:tcW w:type="dxa" w:w="3120"/>
            <w:tcBorders>
              <w:top w:val="single" w:color="B8C9D9" w:sz="1"/>
              <w:left w:val="single" w:color="B8C9D9" w:sz="1"/>
              <w:bottom w:val="single" w:color="B8C9D9" w:sz="1"/>
              <w:right w:val="single" w:color="B8C9D9" w:sz="1"/>
            </w:tcBorders>
            <w:shd w:fill="EEF4FA" w:val="clear"/>
            <w:tcMar>
              <w:top w:type="dxa" w:w="80"/>
              <w:left w:type="dxa" w:w="120"/>
              <w:bottom w:type="dxa" w:w="80"/>
              <w:right w:type="dxa" w:w="120"/>
            </w:tcMar>
          </w:tcPr>
          <w:p>
            <w:r>
              <w:rPr>
                <w:b w:val="false"/>
                <w:bCs w:val="false"/>
                <w:color w:val="000000"/>
                <w:sz w:val="20"/>
                <w:szCs w:val="20"/>
              </w:rPr>
              <w:t xml:space="preserve">Internal error; retry with backoff</w:t>
            </w:r>
          </w:p>
        </w:tc>
      </w:tr>
    </w:tbl>
    <w:p>
      <w:pPr>
        <w:spacing w:after="160"/>
      </w:pPr>
      <w:r>
        <w:t xml:space="preserve"/>
      </w:r>
    </w:p>
    <w:p>
      <w:pPr>
        <w:pStyle w:val="Heading1"/>
      </w:pPr>
      <w:r>
        <w:t xml:space="preserve">7. Webhooks</w:t>
      </w:r>
    </w:p>
    <w:p>
      <w:pPr>
        <w:spacing w:after="160"/>
      </w:pPr>
      <w:r>
        <w:t xml:space="preserve">The available events are document.ready, document.failed, collection.deleted, and usage.threshold. Each delivery includes an HMAC-SHA256 signature in the X-Nimbus-Signature header, computed with the webhook secret. Failed deliveries are retried up to 8 times with exponential backoff over a maximum of 24 hours.</w:t>
      </w:r>
    </w:p>
    <w:p>
      <w:pPr>
        <w:pStyle w:val="Heading1"/>
      </w:pPr>
      <w:r>
        <w:t xml:space="preserve">8. Official SDKs</w:t>
      </w:r>
    </w:p>
    <w:p>
      <w:pPr>
        <w:spacing w:after="160"/>
      </w:pPr>
      <w:r>
        <w:t xml:space="preserve">Official SDKs are maintained for TypeScript (npm: @nimbusvault/sdk), Python (pip: nimbusvault), and Go. The SDKs apply automatic retries on 429 and 5xx errors, with a default maximum of 3 retries. The API changelog is published at https://developers.nimbusvault.io/changelog and breaking changes are announced at least 90 days in advance.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777777"/>
        <w:sz w:val="16"/>
        <w:szCs w:val="16"/>
      </w:rPr>
      <w:t xml:space="preserve">Page </w:t>
    </w: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777777"/>
        <w:sz w:val="16"/>
        <w:szCs w:val="16"/>
      </w:rPr>
      <w:t xml:space="preserve">Nimbus Data Systems — API v3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5C99"/>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2C3E50"/>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dafe1b68cbb8bcad5542c9913dedaf8b13e5dea.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2026-06-11T14:35:43.245Z</dcterms:created>
  <dcterms:modified xsi:type="dcterms:W3CDTF">2026-06-11T14:35:43.245Z</dcterms:modified>
</cp:coreProperties>
</file>

<file path=docProps/custom.xml><?xml version="1.0" encoding="utf-8"?>
<Properties xmlns="http://schemas.openxmlformats.org/officeDocument/2006/custom-properties" xmlns:vt="http://schemas.openxmlformats.org/officeDocument/2006/docPropsVTypes"/>
</file>