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Framework Gap Analysis for a Process Theory of AI Safety</w:t>
      </w:r>
    </w:p>
    <w:p>
      <w:pPr>
        <w:jc w:val="center"/>
      </w:pPr>
      <w:r>
        <w:rPr>
          <w:b/>
        </w:rPr>
        <w:t>Existing Taxonomies, What They Already Capture, and What a Chinese-Philosophy-Inspired Framework Could Still Add</w:t>
      </w:r>
    </w:p>
    <w:p>
      <w:pPr>
        <w:spacing w:after="80"/>
      </w:pPr>
      <w:r>
        <w:t>Executive conclusion. The framework project should continue, but the novelty claim must be narrower than we initially imagined. By September 2026, the literature already contains sophisticated agentic-AI taxonomies. A 2026 structured review organizes agentic safety into failure sources, mitigating capabilities, deployment domains, and evaluation/assurance; Microsoft separates safety/security and novel/existing agentic failures; NIST and ISO provide lifecycle risk-management structures; frontier-lab frameworks organize severe-risk governance around capabilities, thresholds, safeguards, and deployment decisions. Novelty therefore cannot rest on collecting familiar safety topics into another list.</w:t>
      </w:r>
    </w:p>
    <w:p>
      <w:pPr>
        <w:spacing w:after="80"/>
      </w:pPr>
      <w:r>
        <w:t>The strongest remaining contribution is a different unit of analysis: a diagnostic process theory of how a nominally aligned agent can lose safety as an objective is specified, recognized, enacted, maintained under changing oversight, bounded by restraint, and propagated into social consequences. Existing frameworks contain many of these pieces, but they are usually distributed across different layers or literatures rather than represented as conditional transitions in situated agency.</w:t>
      </w:r>
    </w:p>
    <w:p>
      <w:pPr>
        <w:spacing w:after="80"/>
      </w:pPr>
      <w:r>
        <w:t>Recommended claim. Do not claim that existing frameworks cannot distinguish these failures. Claim instead that they primarily organize risks by domain, lifecycle activity, capability, threat source, governance function, or mitigation layer; the proposed Process Safety Framework (PSF) organizes failures by where safety breaks in the translation from intended objective to situated action and consequence. Its value must be tested empirically.</w:t>
      </w:r>
    </w:p>
    <w:p>
      <w:pPr>
        <w:pStyle w:val="Heading1"/>
      </w:pPr>
      <w:r>
        <w:t>1. Evaluation criterion</w:t>
      </w:r>
    </w:p>
    <w:p>
      <w:pPr>
        <w:spacing w:after="80"/>
      </w:pPr>
      <w:r>
        <w:t>A genuine framework contribution requires at least one of four forms of added value: decomposition (splitting a broad failure class into diagnostically different mechanisms); integration (connecting distinctions scattered across literatures); conditional structure (specifying how one safety property depends on another); or actionability (mapping different diagnoses to different evaluations or mitigations). Merely renaming established categories does not qualify.</w:t>
      </w:r>
    </w:p>
    <w:p>
      <w:pPr>
        <w:pStyle w:val="Heading1"/>
      </w:pPr>
      <w:r>
        <w:t>2. Frameworks examined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E9E9E9"/>
          </w:tcPr>
          <w:p>
            <w:r/>
            <w:r>
              <w:rPr>
                <w:b/>
                <w:sz w:val="16"/>
              </w:rPr>
              <w:t>Framework</w:t>
            </w:r>
          </w:p>
        </w:tc>
        <w:tc>
          <w:tcPr>
            <w:tcW w:type="dxa" w:w="3389"/>
            <w:vAlign w:val="top"/>
            <w:shd w:fill="E9E9E9"/>
          </w:tcPr>
          <w:p>
            <w:r/>
            <w:r>
              <w:rPr>
                <w:b/>
                <w:sz w:val="16"/>
              </w:rPr>
              <w:t>Primary organizing logic</w:t>
            </w:r>
          </w:p>
        </w:tc>
        <w:tc>
          <w:tcPr>
            <w:tcW w:type="dxa" w:w="3389"/>
            <w:vAlign w:val="top"/>
            <w:shd w:fill="E9E9E9"/>
          </w:tcPr>
          <w:p>
            <w:r/>
            <w:r>
              <w:rPr>
                <w:b/>
                <w:sz w:val="16"/>
              </w:rPr>
              <w:t>Implication for PSF</w:t>
            </w:r>
          </w:p>
        </w:tc>
      </w:tr>
      <w:tr>
        <w:tc>
          <w:tcPr>
            <w:tcW w:type="dxa" w:w="3389"/>
            <w:vAlign w:val="top"/>
          </w:tcPr>
          <w:p>
            <w:r/>
            <w:r>
              <w:rPr>
                <w:b w:val="0"/>
                <w:sz w:val="15"/>
              </w:rPr>
              <w:t>NIST AI RMF 1.0</w:t>
            </w:r>
          </w:p>
        </w:tc>
        <w:tc>
          <w:tcPr>
            <w:tcW w:type="dxa" w:w="3389"/>
            <w:vAlign w:val="top"/>
          </w:tcPr>
          <w:p>
            <w:r/>
            <w:r>
              <w:rPr>
                <w:b w:val="0"/>
                <w:sz w:val="15"/>
              </w:rPr>
              <w:t>Govern → Map → Measure → Manage; lifecycle and organizational risk management</w:t>
            </w:r>
          </w:p>
        </w:tc>
        <w:tc>
          <w:tcPr>
            <w:tcW w:type="dxa" w:w="3389"/>
            <w:vAlign w:val="top"/>
          </w:tcPr>
          <w:p>
            <w:r/>
            <w:r>
              <w:rPr>
                <w:b w:val="0"/>
                <w:sz w:val="15"/>
              </w:rPr>
              <w:t>Strong lifecycle/governance coverage; explicitly not an ordered sequence.</w:t>
            </w:r>
          </w:p>
        </w:tc>
      </w:tr>
      <w:tr>
        <w:tc>
          <w:tcPr>
            <w:tcW w:type="dxa" w:w="3389"/>
            <w:vAlign w:val="top"/>
          </w:tcPr>
          <w:p>
            <w:r/>
            <w:r>
              <w:rPr>
                <w:b w:val="0"/>
                <w:sz w:val="15"/>
              </w:rPr>
              <w:t>ISO/IEC 23894:2023</w:t>
            </w:r>
          </w:p>
        </w:tc>
        <w:tc>
          <w:tcPr>
            <w:tcW w:type="dxa" w:w="3389"/>
            <w:vAlign w:val="top"/>
          </w:tcPr>
          <w:p>
            <w:r/>
            <w:r>
              <w:rPr>
                <w:b w:val="0"/>
                <w:sz w:val="15"/>
              </w:rPr>
              <w:t>AI-specific risk-management guidance integrated into organizational processes</w:t>
            </w:r>
          </w:p>
        </w:tc>
        <w:tc>
          <w:tcPr>
            <w:tcW w:type="dxa" w:w="3389"/>
            <w:vAlign w:val="top"/>
          </w:tcPr>
          <w:p>
            <w:r/>
            <w:r>
              <w:rPr>
                <w:b w:val="0"/>
                <w:sz w:val="15"/>
              </w:rPr>
              <w:t>Management process, not a behavioral failure theory.</w:t>
            </w:r>
          </w:p>
        </w:tc>
      </w:tr>
      <w:tr>
        <w:tc>
          <w:tcPr>
            <w:tcW w:type="dxa" w:w="3389"/>
            <w:vAlign w:val="top"/>
          </w:tcPr>
          <w:p>
            <w:r/>
            <w:r>
              <w:rPr>
                <w:b w:val="0"/>
                <w:sz w:val="15"/>
              </w:rPr>
              <w:t>OpenAI Preparedness / Frontier Governance</w:t>
            </w:r>
          </w:p>
        </w:tc>
        <w:tc>
          <w:tcPr>
            <w:tcW w:type="dxa" w:w="3389"/>
            <w:vAlign w:val="top"/>
          </w:tcPr>
          <w:p>
            <w:r/>
            <w:r>
              <w:rPr>
                <w:b w:val="0"/>
                <w:sz w:val="15"/>
              </w:rPr>
              <w:t>Severe-risk categories, capability assessment, safeguards, residual risk, deployment governance</w:t>
            </w:r>
          </w:p>
        </w:tc>
        <w:tc>
          <w:tcPr>
            <w:tcW w:type="dxa" w:w="3389"/>
            <w:vAlign w:val="top"/>
          </w:tcPr>
          <w:p>
            <w:r/>
            <w:r>
              <w:rPr>
                <w:b w:val="0"/>
                <w:sz w:val="15"/>
              </w:rPr>
              <w:t>Strong capability/risk operationalization.</w:t>
            </w:r>
          </w:p>
        </w:tc>
      </w:tr>
      <w:tr>
        <w:tc>
          <w:tcPr>
            <w:tcW w:type="dxa" w:w="3389"/>
            <w:vAlign w:val="top"/>
          </w:tcPr>
          <w:p>
            <w:r/>
            <w:r>
              <w:rPr>
                <w:b w:val="0"/>
                <w:sz w:val="15"/>
              </w:rPr>
              <w:t>Google DeepMind Frontier Safety Framework</w:t>
            </w:r>
          </w:p>
        </w:tc>
        <w:tc>
          <w:tcPr>
            <w:tcW w:type="dxa" w:w="3389"/>
            <w:vAlign w:val="top"/>
          </w:tcPr>
          <w:p>
            <w:r/>
            <w:r>
              <w:rPr>
                <w:b w:val="0"/>
                <w:sz w:val="15"/>
              </w:rPr>
              <w:t>Critical capability levels, detection, mitigation/security protocols</w:t>
            </w:r>
          </w:p>
        </w:tc>
        <w:tc>
          <w:tcPr>
            <w:tcW w:type="dxa" w:w="3389"/>
            <w:vAlign w:val="top"/>
          </w:tcPr>
          <w:p>
            <w:r/>
            <w:r>
              <w:rPr>
                <w:b w:val="0"/>
                <w:sz w:val="15"/>
              </w:rPr>
              <w:t>Strong threshold/capability governance.</w:t>
            </w:r>
          </w:p>
        </w:tc>
      </w:tr>
      <w:tr>
        <w:tc>
          <w:tcPr>
            <w:tcW w:type="dxa" w:w="3389"/>
            <w:vAlign w:val="top"/>
          </w:tcPr>
          <w:p>
            <w:r/>
            <w:r>
              <w:rPr>
                <w:b w:val="0"/>
                <w:sz w:val="15"/>
              </w:rPr>
              <w:t>Anthropic Frontier Safety Roadmap</w:t>
            </w:r>
          </w:p>
        </w:tc>
        <w:tc>
          <w:tcPr>
            <w:tcW w:type="dxa" w:w="3389"/>
            <w:vAlign w:val="top"/>
          </w:tcPr>
          <w:p>
            <w:r/>
            <w:r>
              <w:rPr>
                <w:b w:val="0"/>
                <w:sz w:val="15"/>
              </w:rPr>
              <w:t>Security, safeguards, alignment, policy</w:t>
            </w:r>
          </w:p>
        </w:tc>
        <w:tc>
          <w:tcPr>
            <w:tcW w:type="dxa" w:w="3389"/>
            <w:vAlign w:val="top"/>
          </w:tcPr>
          <w:p>
            <w:r/>
            <w:r>
              <w:rPr>
                <w:b w:val="0"/>
                <w:sz w:val="15"/>
              </w:rPr>
              <w:t>Strong frontier deployment governance.</w:t>
            </w:r>
          </w:p>
        </w:tc>
      </w:tr>
      <w:tr>
        <w:tc>
          <w:tcPr>
            <w:tcW w:type="dxa" w:w="3389"/>
            <w:vAlign w:val="top"/>
          </w:tcPr>
          <w:p>
            <w:r/>
            <w:r>
              <w:rPr>
                <w:b w:val="0"/>
                <w:sz w:val="15"/>
              </w:rPr>
              <w:t>MIT AI Risk Repository</w:t>
            </w:r>
          </w:p>
        </w:tc>
        <w:tc>
          <w:tcPr>
            <w:tcW w:type="dxa" w:w="3389"/>
            <w:vAlign w:val="top"/>
          </w:tcPr>
          <w:p>
            <w:r/>
            <w:r>
              <w:rPr>
                <w:b w:val="0"/>
                <w:sz w:val="15"/>
              </w:rPr>
              <w:t>Seven domains / 24 subdomains plus causal taxonomy</w:t>
            </w:r>
          </w:p>
        </w:tc>
        <w:tc>
          <w:tcPr>
            <w:tcW w:type="dxa" w:w="3389"/>
            <w:vAlign w:val="top"/>
          </w:tcPr>
          <w:p>
            <w:r/>
            <w:r>
              <w:rPr>
                <w:b w:val="0"/>
                <w:sz w:val="15"/>
              </w:rPr>
              <w:t>Broad risk coverage; primarily what/why risk occurs.</w:t>
            </w:r>
          </w:p>
        </w:tc>
      </w:tr>
      <w:tr>
        <w:tc>
          <w:tcPr>
            <w:tcW w:type="dxa" w:w="3389"/>
            <w:vAlign w:val="top"/>
          </w:tcPr>
          <w:p>
            <w:r/>
            <w:r>
              <w:rPr>
                <w:b w:val="0"/>
                <w:sz w:val="15"/>
              </w:rPr>
              <w:t>Microsoft Agentic Failure Taxonomy v2.0</w:t>
            </w:r>
          </w:p>
        </w:tc>
        <w:tc>
          <w:tcPr>
            <w:tcW w:type="dxa" w:w="3389"/>
            <w:vAlign w:val="top"/>
          </w:tcPr>
          <w:p>
            <w:r/>
            <w:r>
              <w:rPr>
                <w:b w:val="0"/>
                <w:sz w:val="15"/>
              </w:rPr>
              <w:t>Safety vs security × novel vs existing; concrete agentic failure modes</w:t>
            </w:r>
          </w:p>
        </w:tc>
        <w:tc>
          <w:tcPr>
            <w:tcW w:type="dxa" w:w="3389"/>
            <w:vAlign w:val="top"/>
          </w:tcPr>
          <w:p>
            <w:r/>
            <w:r>
              <w:rPr>
                <w:b w:val="0"/>
                <w:sz w:val="15"/>
              </w:rPr>
              <w:t>Very strong threat-model and engineering taxonomy.</w:t>
            </w:r>
          </w:p>
        </w:tc>
      </w:tr>
      <w:tr>
        <w:tc>
          <w:tcPr>
            <w:tcW w:type="dxa" w:w="3389"/>
            <w:vAlign w:val="top"/>
          </w:tcPr>
          <w:p>
            <w:r/>
            <w:r>
              <w:rPr>
                <w:b w:val="0"/>
                <w:sz w:val="15"/>
              </w:rPr>
              <w:t>GovTech ARC</w:t>
            </w:r>
          </w:p>
        </w:tc>
        <w:tc>
          <w:tcPr>
            <w:tcW w:type="dxa" w:w="3389"/>
            <w:vAlign w:val="top"/>
          </w:tcPr>
          <w:p>
            <w:r/>
            <w:r>
              <w:rPr>
                <w:b w:val="0"/>
                <w:sz w:val="15"/>
              </w:rPr>
              <w:t>Capabilities → risks → technical controls; agent failure / manipulation / tool malfunction</w:t>
            </w:r>
          </w:p>
        </w:tc>
        <w:tc>
          <w:tcPr>
            <w:tcW w:type="dxa" w:w="3389"/>
            <w:vAlign w:val="top"/>
          </w:tcPr>
          <w:p>
            <w:r/>
            <w:r>
              <w:rPr>
                <w:b w:val="0"/>
                <w:sz w:val="15"/>
              </w:rPr>
              <w:t>Highly operational technical-governance framework.</w:t>
            </w:r>
          </w:p>
        </w:tc>
      </w:tr>
      <w:tr>
        <w:tc>
          <w:tcPr>
            <w:tcW w:type="dxa" w:w="3389"/>
            <w:vAlign w:val="top"/>
          </w:tcPr>
          <w:p>
            <w:r/>
            <w:r>
              <w:rPr>
                <w:b w:val="0"/>
                <w:sz w:val="15"/>
              </w:rPr>
              <w:t>Agentic AI Safety structured review (2026)</w:t>
            </w:r>
          </w:p>
        </w:tc>
        <w:tc>
          <w:tcPr>
            <w:tcW w:type="dxa" w:w="3389"/>
            <w:vAlign w:val="top"/>
          </w:tcPr>
          <w:p>
            <w:r/>
            <w:r>
              <w:rPr>
                <w:b w:val="0"/>
                <w:sz w:val="15"/>
              </w:rPr>
              <w:t>Eight problem families grouped into interacting layers</w:t>
            </w:r>
          </w:p>
        </w:tc>
        <w:tc>
          <w:tcPr>
            <w:tcW w:type="dxa" w:w="3389"/>
            <w:vAlign w:val="top"/>
          </w:tcPr>
          <w:p>
            <w:r/>
            <w:r>
              <w:rPr>
                <w:b w:val="0"/>
                <w:sz w:val="15"/>
              </w:rPr>
              <w:t>Closest academic competitor; already layered rather than flat.</w:t>
            </w:r>
          </w:p>
        </w:tc>
      </w:tr>
      <w:tr>
        <w:tc>
          <w:tcPr>
            <w:tcW w:type="dxa" w:w="3389"/>
            <w:vAlign w:val="top"/>
          </w:tcPr>
          <w:p>
            <w:r/>
            <w:r>
              <w:rPr>
                <w:b w:val="0"/>
                <w:sz w:val="15"/>
              </w:rPr>
              <w:t>Multi-Agent Risks from Advanced AI</w:t>
            </w:r>
          </w:p>
        </w:tc>
        <w:tc>
          <w:tcPr>
            <w:tcW w:type="dxa" w:w="3389"/>
            <w:vAlign w:val="top"/>
          </w:tcPr>
          <w:p>
            <w:r/>
            <w:r>
              <w:rPr>
                <w:b w:val="0"/>
                <w:sz w:val="15"/>
              </w:rPr>
              <w:t>Miscoordination, conflict, collusion + seven systemic risk factors</w:t>
            </w:r>
          </w:p>
        </w:tc>
        <w:tc>
          <w:tcPr>
            <w:tcW w:type="dxa" w:w="3389"/>
            <w:vAlign w:val="top"/>
          </w:tcPr>
          <w:p>
            <w:r/>
            <w:r>
              <w:rPr>
                <w:b w:val="0"/>
                <w:sz w:val="15"/>
              </w:rPr>
              <w:t>Strong collective/system-level theory.</w:t>
            </w:r>
          </w:p>
        </w:tc>
      </w:tr>
      <w:tr>
        <w:tc>
          <w:tcPr>
            <w:tcW w:type="dxa" w:w="3389"/>
            <w:vAlign w:val="top"/>
          </w:tcPr>
          <w:p>
            <w:r/>
            <w:r>
              <w:rPr>
                <w:b w:val="0"/>
                <w:sz w:val="15"/>
              </w:rPr>
              <w:t>Real-world agentic safety/security framework (2025)</w:t>
            </w:r>
          </w:p>
        </w:tc>
        <w:tc>
          <w:tcPr>
            <w:tcW w:type="dxa" w:w="3389"/>
            <w:vAlign w:val="top"/>
          </w:tcPr>
          <w:p>
            <w:r/>
            <w:r>
              <w:rPr>
                <w:b w:val="0"/>
                <w:sz w:val="15"/>
              </w:rPr>
              <w:t>Dynamic model–orchestrator–tool–data interactions</w:t>
            </w:r>
          </w:p>
        </w:tc>
        <w:tc>
          <w:tcPr>
            <w:tcW w:type="dxa" w:w="3389"/>
            <w:vAlign w:val="top"/>
          </w:tcPr>
          <w:p>
            <w:r/>
            <w:r>
              <w:rPr>
                <w:b w:val="0"/>
                <w:sz w:val="15"/>
              </w:rPr>
              <w:t>Strong systems framing and empirical case study.</w:t>
            </w:r>
          </w:p>
        </w:tc>
      </w:tr>
    </w:tbl>
    <w:p>
      <w:pPr>
        <w:pStyle w:val="Heading1"/>
      </w:pPr>
      <w:r>
        <w:t>3. The closest competitor changes the novelty baseline</w:t>
      </w:r>
    </w:p>
    <w:p>
      <w:pPr>
        <w:spacing w:after="80"/>
      </w:pPr>
      <w:r>
        <w:t>The most important result is the 2026 structured review of agentic AI safety. It explicitly argues that a flat list is inadequate and groups eight problem families into interacting layers: failure sources (goal specification, inner alignment/deception, safe learning/robustness), mitigating capabilities (scalable oversight, interpretability), deployment domains (tool-use security, multi-agent safety), and evaluation/assurance. Our paper therefore cannot claim to be the first to move beyond a flat taxonomy.</w:t>
      </w:r>
    </w:p>
    <w:p>
      <w:pPr>
        <w:spacing w:after="80"/>
      </w:pPr>
      <w:r>
        <w:t>However, that review still primarily classifies research problem families. It does not make recognition→action consistency, oversight invariance, or runtime stopping/deference into a unified sequence of conditional diagnostic tests. This is the narrower opening for PSF.</w:t>
      </w:r>
    </w:p>
    <w:p>
      <w:pPr>
        <w:pStyle w:val="Heading1"/>
      </w:pPr>
      <w:r>
        <w:t>4. Head-to-head gap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E9E9E9"/>
          </w:tcPr>
          <w:p>
            <w:r/>
            <w:r>
              <w:rPr>
                <w:b/>
                <w:sz w:val="16"/>
              </w:rPr>
              <w:t>PSF distinction</w:t>
            </w:r>
          </w:p>
        </w:tc>
        <w:tc>
          <w:tcPr>
            <w:tcW w:type="dxa" w:w="2541"/>
            <w:vAlign w:val="top"/>
            <w:shd w:fill="E9E9E9"/>
          </w:tcPr>
          <w:p>
            <w:r/>
            <w:r>
              <w:rPr>
                <w:b/>
                <w:sz w:val="16"/>
              </w:rPr>
              <w:t>Coverage today</w:t>
            </w:r>
          </w:p>
        </w:tc>
        <w:tc>
          <w:tcPr>
            <w:tcW w:type="dxa" w:w="2541"/>
            <w:vAlign w:val="top"/>
            <w:shd w:fill="E9E9E9"/>
          </w:tcPr>
          <w:p>
            <w:r/>
            <w:r>
              <w:rPr>
                <w:b/>
                <w:sz w:val="16"/>
              </w:rPr>
              <w:t>Evidence / overlap</w:t>
            </w:r>
          </w:p>
        </w:tc>
        <w:tc>
          <w:tcPr>
            <w:tcW w:type="dxa" w:w="2541"/>
            <w:vAlign w:val="top"/>
            <w:shd w:fill="E9E9E9"/>
          </w:tcPr>
          <w:p>
            <w:r/>
            <w:r>
              <w:rPr>
                <w:b/>
                <w:sz w:val="16"/>
              </w:rPr>
              <w:t>Positioning</w:t>
            </w:r>
          </w:p>
        </w:tc>
      </w:tr>
      <w:tr>
        <w:tc>
          <w:tcPr>
            <w:tcW w:type="dxa" w:w="2541"/>
            <w:vAlign w:val="top"/>
          </w:tcPr>
          <w:p>
            <w:r/>
            <w:r>
              <w:rPr>
                <w:b w:val="0"/>
                <w:sz w:val="15"/>
              </w:rPr>
              <w:t>Specification / intent mismatch (正名)</w:t>
            </w:r>
          </w:p>
        </w:tc>
        <w:tc>
          <w:tcPr>
            <w:tcW w:type="dxa" w:w="2541"/>
            <w:vAlign w:val="top"/>
          </w:tcPr>
          <w:p>
            <w:r/>
            <w:r>
              <w:rPr>
                <w:b w:val="0"/>
                <w:sz w:val="15"/>
              </w:rPr>
              <w:t>Well covered</w:t>
            </w:r>
          </w:p>
        </w:tc>
        <w:tc>
          <w:tcPr>
            <w:tcW w:type="dxa" w:w="2541"/>
            <w:vAlign w:val="top"/>
          </w:tcPr>
          <w:p>
            <w:r/>
            <w:r>
              <w:rPr>
                <w:b w:val="0"/>
                <w:sz w:val="15"/>
              </w:rPr>
              <w:t>Goal specification, specification gaming, goal misgeneralization, intended-purpose checks.</w:t>
            </w:r>
          </w:p>
        </w:tc>
        <w:tc>
          <w:tcPr>
            <w:tcW w:type="dxa" w:w="2541"/>
            <w:vAlign w:val="top"/>
          </w:tcPr>
          <w:p>
            <w:r/>
            <w:r>
              <w:rPr>
                <w:b w:val="0"/>
                <w:sz w:val="15"/>
              </w:rPr>
              <w:t>Entry condition, not novelty centerpiece.</w:t>
            </w:r>
          </w:p>
        </w:tc>
      </w:tr>
      <w:tr>
        <w:tc>
          <w:tcPr>
            <w:tcW w:type="dxa" w:w="2541"/>
            <w:vAlign w:val="top"/>
          </w:tcPr>
          <w:p>
            <w:r/>
            <w:r>
              <w:rPr>
                <w:b w:val="0"/>
                <w:sz w:val="15"/>
              </w:rPr>
              <w:t>Risk/norm recognition (知)</w:t>
            </w:r>
          </w:p>
        </w:tc>
        <w:tc>
          <w:tcPr>
            <w:tcW w:type="dxa" w:w="2541"/>
            <w:vAlign w:val="top"/>
          </w:tcPr>
          <w:p>
            <w:r/>
            <w:r>
              <w:rPr>
                <w:b w:val="0"/>
                <w:sz w:val="15"/>
              </w:rPr>
              <w:t>Partly covered</w:t>
            </w:r>
          </w:p>
        </w:tc>
        <w:tc>
          <w:tcPr>
            <w:tcW w:type="dxa" w:w="2541"/>
            <w:vAlign w:val="top"/>
          </w:tcPr>
          <w:p>
            <w:r/>
            <w:r>
              <w:rPr>
                <w:b w:val="0"/>
                <w:sz w:val="15"/>
              </w:rPr>
              <w:t>Risk-awareness benchmarks and evaluation/assurance literatures.</w:t>
            </w:r>
          </w:p>
        </w:tc>
        <w:tc>
          <w:tcPr>
            <w:tcW w:type="dxa" w:w="2541"/>
            <w:vAlign w:val="top"/>
          </w:tcPr>
          <w:p>
            <w:r/>
            <w:r>
              <w:rPr>
                <w:b w:val="0"/>
                <w:sz w:val="15"/>
              </w:rPr>
              <w:t>Distinct from behavior, but not newly discovered.</w:t>
            </w:r>
          </w:p>
        </w:tc>
      </w:tr>
      <w:tr>
        <w:tc>
          <w:tcPr>
            <w:tcW w:type="dxa" w:w="2541"/>
            <w:vAlign w:val="top"/>
          </w:tcPr>
          <w:p>
            <w:r/>
            <w:r>
              <w:rPr>
                <w:b w:val="0"/>
                <w:sz w:val="15"/>
              </w:rPr>
              <w:t>Knowledge → situated action (知行合一)</w:t>
            </w:r>
          </w:p>
        </w:tc>
        <w:tc>
          <w:tcPr>
            <w:tcW w:type="dxa" w:w="2541"/>
            <w:vAlign w:val="top"/>
          </w:tcPr>
          <w:p>
            <w:r/>
            <w:r>
              <w:rPr>
                <w:b w:val="0"/>
                <w:sz w:val="15"/>
              </w:rPr>
              <w:t>Fragmented / emerging</w:t>
            </w:r>
          </w:p>
        </w:tc>
        <w:tc>
          <w:tcPr>
            <w:tcW w:type="dxa" w:w="2541"/>
            <w:vAlign w:val="top"/>
          </w:tcPr>
          <w:p>
            <w:r/>
            <w:r>
              <w:rPr>
                <w:b w:val="0"/>
                <w:sz w:val="15"/>
              </w:rPr>
              <w:t>2026 knowledge–behavior/action-gap work exists; agent benchmarks measure action.</w:t>
            </w:r>
          </w:p>
        </w:tc>
        <w:tc>
          <w:tcPr>
            <w:tcW w:type="dxa" w:w="2541"/>
            <w:vAlign w:val="top"/>
          </w:tcPr>
          <w:p>
            <w:r/>
            <w:r>
              <w:rPr>
                <w:b w:val="0"/>
                <w:sz w:val="15"/>
              </w:rPr>
              <w:t>High value if paired, matched, tool-using, causal, intervention-focused.</w:t>
            </w:r>
          </w:p>
        </w:tc>
      </w:tr>
      <w:tr>
        <w:tc>
          <w:tcPr>
            <w:tcW w:type="dxa" w:w="2541"/>
            <w:vAlign w:val="top"/>
          </w:tcPr>
          <w:p>
            <w:r/>
            <w:r>
              <w:rPr>
                <w:b w:val="0"/>
                <w:sz w:val="15"/>
              </w:rPr>
              <w:t>Observed → unobserved safety (慎独)</w:t>
            </w:r>
          </w:p>
        </w:tc>
        <w:tc>
          <w:tcPr>
            <w:tcW w:type="dxa" w:w="2541"/>
            <w:vAlign w:val="top"/>
          </w:tcPr>
          <w:p>
            <w:r/>
            <w:r>
              <w:rPr>
                <w:b w:val="0"/>
                <w:sz w:val="15"/>
              </w:rPr>
              <w:t>Strong neighboring literature</w:t>
            </w:r>
          </w:p>
        </w:tc>
        <w:tc>
          <w:tcPr>
            <w:tcW w:type="dxa" w:w="2541"/>
            <w:vAlign w:val="top"/>
          </w:tcPr>
          <w:p>
            <w:r/>
            <w:r>
              <w:rPr>
                <w:b w:val="0"/>
                <w:sz w:val="15"/>
              </w:rPr>
              <w:t>Evaluation awareness, alignment faking, scheming, audit realism.</w:t>
            </w:r>
          </w:p>
        </w:tc>
        <w:tc>
          <w:tcPr>
            <w:tcW w:type="dxa" w:w="2541"/>
            <w:vAlign w:val="top"/>
          </w:tcPr>
          <w:p>
            <w:r/>
            <w:r>
              <w:rPr>
                <w:b w:val="0"/>
                <w:sz w:val="15"/>
              </w:rPr>
              <w:t>Broaden to oversight invariance; benchmark against alignment faking.</w:t>
            </w:r>
          </w:p>
        </w:tc>
      </w:tr>
      <w:tr>
        <w:tc>
          <w:tcPr>
            <w:tcW w:type="dxa" w:w="2541"/>
            <w:vAlign w:val="top"/>
          </w:tcPr>
          <w:p>
            <w:r/>
            <w:r>
              <w:rPr>
                <w:b w:val="0"/>
                <w:sz w:val="15"/>
              </w:rPr>
              <w:t>Continue → defer/stop (知止)</w:t>
            </w:r>
          </w:p>
        </w:tc>
        <w:tc>
          <w:tcPr>
            <w:tcW w:type="dxa" w:w="2541"/>
            <w:vAlign w:val="top"/>
          </w:tcPr>
          <w:p>
            <w:r/>
            <w:r>
              <w:rPr>
                <w:b w:val="0"/>
                <w:sz w:val="15"/>
              </w:rPr>
              <w:t>Partly covered</w:t>
            </w:r>
          </w:p>
        </w:tc>
        <w:tc>
          <w:tcPr>
            <w:tcW w:type="dxa" w:w="2541"/>
            <w:vAlign w:val="top"/>
          </w:tcPr>
          <w:p>
            <w:r/>
            <w:r>
              <w:rPr>
                <w:b w:val="0"/>
                <w:sz w:val="15"/>
              </w:rPr>
              <w:t>Human oversight, escalation, corrigibility, shutdown, safe interruption.</w:t>
            </w:r>
          </w:p>
        </w:tc>
        <w:tc>
          <w:tcPr>
            <w:tcW w:type="dxa" w:w="2541"/>
            <w:vAlign w:val="top"/>
          </w:tcPr>
          <w:p>
            <w:r/>
            <w:r>
              <w:rPr>
                <w:b w:val="0"/>
                <w:sz w:val="15"/>
              </w:rPr>
              <w:t>Promising as runtime calibrated restraint.</w:t>
            </w:r>
          </w:p>
        </w:tc>
      </w:tr>
      <w:tr>
        <w:tc>
          <w:tcPr>
            <w:tcW w:type="dxa" w:w="2541"/>
            <w:vAlign w:val="top"/>
          </w:tcPr>
          <w:p>
            <w:r/>
            <w:r>
              <w:rPr>
                <w:b w:val="0"/>
                <w:sz w:val="15"/>
              </w:rPr>
              <w:t>Principal → third-party/social effects (兼爱)</w:t>
            </w:r>
          </w:p>
        </w:tc>
        <w:tc>
          <w:tcPr>
            <w:tcW w:type="dxa" w:w="2541"/>
            <w:vAlign w:val="top"/>
          </w:tcPr>
          <w:p>
            <w:r/>
            <w:r>
              <w:rPr>
                <w:b w:val="0"/>
                <w:sz w:val="15"/>
              </w:rPr>
              <w:t>Increasingly covered</w:t>
            </w:r>
          </w:p>
        </w:tc>
        <w:tc>
          <w:tcPr>
            <w:tcW w:type="dxa" w:w="2541"/>
            <w:vAlign w:val="top"/>
          </w:tcPr>
          <w:p>
            <w:r/>
            <w:r>
              <w:rPr>
                <w:b w:val="0"/>
                <w:sz w:val="15"/>
              </w:rPr>
              <w:t>Multi-agent/systemic-risk work shows local compliance can coexist with collective failure.</w:t>
            </w:r>
          </w:p>
        </w:tc>
        <w:tc>
          <w:tcPr>
            <w:tcW w:type="dxa" w:w="2541"/>
            <w:vAlign w:val="top"/>
          </w:tcPr>
          <w:p>
            <w:r/>
            <w:r>
              <w:rPr>
                <w:b w:val="0"/>
                <w:sz w:val="15"/>
              </w:rPr>
              <w:t>Bridge individual to system safety; requires measurable externalities.</w:t>
            </w:r>
          </w:p>
        </w:tc>
      </w:tr>
      <w:tr>
        <w:tc>
          <w:tcPr>
            <w:tcW w:type="dxa" w:w="2541"/>
            <w:vAlign w:val="top"/>
          </w:tcPr>
          <w:p>
            <w:r/>
            <w:r>
              <w:rPr>
                <w:b w:val="0"/>
                <w:sz w:val="15"/>
              </w:rPr>
              <w:t>Internal alignment → external control (法/术/势/形名)</w:t>
            </w:r>
          </w:p>
        </w:tc>
        <w:tc>
          <w:tcPr>
            <w:tcW w:type="dxa" w:w="2541"/>
            <w:vAlign w:val="top"/>
          </w:tcPr>
          <w:p>
            <w:r/>
            <w:r>
              <w:rPr>
                <w:b w:val="0"/>
                <w:sz w:val="15"/>
              </w:rPr>
              <w:t>Strongly covered</w:t>
            </w:r>
          </w:p>
        </w:tc>
        <w:tc>
          <w:tcPr>
            <w:tcW w:type="dxa" w:w="2541"/>
            <w:vAlign w:val="top"/>
          </w:tcPr>
          <w:p>
            <w:r/>
            <w:r>
              <w:rPr>
                <w:b w:val="0"/>
                <w:sz w:val="15"/>
              </w:rPr>
              <w:t>NIST/ISO, ARC, frontier governance, monitoring and permissions.</w:t>
            </w:r>
          </w:p>
        </w:tc>
        <w:tc>
          <w:tcPr>
            <w:tcW w:type="dxa" w:w="2541"/>
            <w:vAlign w:val="top"/>
          </w:tcPr>
          <w:p>
            <w:r/>
            <w:r>
              <w:rPr>
                <w:b w:val="0"/>
                <w:sz w:val="15"/>
              </w:rPr>
              <w:t>Defense-in-depth layer, not novelty claim.</w:t>
            </w:r>
          </w:p>
        </w:tc>
      </w:tr>
      <w:tr>
        <w:tc>
          <w:tcPr>
            <w:tcW w:type="dxa" w:w="2541"/>
            <w:vAlign w:val="top"/>
          </w:tcPr>
          <w:p>
            <w:r/>
            <w:r>
              <w:rPr>
                <w:b w:val="0"/>
                <w:sz w:val="15"/>
              </w:rPr>
              <w:t>Benign → adversarial environment (兵家)</w:t>
            </w:r>
          </w:p>
        </w:tc>
        <w:tc>
          <w:tcPr>
            <w:tcW w:type="dxa" w:w="2541"/>
            <w:vAlign w:val="top"/>
          </w:tcPr>
          <w:p>
            <w:r/>
            <w:r>
              <w:rPr>
                <w:b w:val="0"/>
                <w:sz w:val="15"/>
              </w:rPr>
              <w:t>Strongly covered</w:t>
            </w:r>
          </w:p>
        </w:tc>
        <w:tc>
          <w:tcPr>
            <w:tcW w:type="dxa" w:w="2541"/>
            <w:vAlign w:val="top"/>
          </w:tcPr>
          <w:p>
            <w:r/>
            <w:r>
              <w:rPr>
                <w:b w:val="0"/>
                <w:sz w:val="15"/>
              </w:rPr>
              <w:t>Red teaming, injection, compromise, security taxonomies.</w:t>
            </w:r>
          </w:p>
        </w:tc>
        <w:tc>
          <w:tcPr>
            <w:tcW w:type="dxa" w:w="2541"/>
            <w:vAlign w:val="top"/>
          </w:tcPr>
          <w:p>
            <w:r/>
            <w:r>
              <w:rPr>
                <w:b w:val="0"/>
                <w:sz w:val="15"/>
              </w:rPr>
              <w:t>Cyber novelty must be technical, not Sunzi analogy.</w:t>
            </w:r>
          </w:p>
        </w:tc>
      </w:tr>
      <w:tr>
        <w:tc>
          <w:tcPr>
            <w:tcW w:type="dxa" w:w="2541"/>
            <w:vAlign w:val="top"/>
          </w:tcPr>
          <w:p>
            <w:r/>
            <w:r>
              <w:rPr>
                <w:b w:val="0"/>
                <w:sz w:val="15"/>
              </w:rPr>
              <w:t>Action → outcome</w:t>
            </w:r>
          </w:p>
        </w:tc>
        <w:tc>
          <w:tcPr>
            <w:tcW w:type="dxa" w:w="2541"/>
            <w:vAlign w:val="top"/>
          </w:tcPr>
          <w:p>
            <w:r/>
            <w:r>
              <w:rPr>
                <w:b w:val="0"/>
                <w:sz w:val="15"/>
              </w:rPr>
              <w:t>Covered but often separated</w:t>
            </w:r>
          </w:p>
        </w:tc>
        <w:tc>
          <w:tcPr>
            <w:tcW w:type="dxa" w:w="2541"/>
            <w:vAlign w:val="top"/>
          </w:tcPr>
          <w:p>
            <w:r/>
            <w:r>
              <w:rPr>
                <w:b w:val="0"/>
                <w:sz w:val="15"/>
              </w:rPr>
              <w:t>Risk frameworks emphasize impacts; agent evals often score traces/actions.</w:t>
            </w:r>
          </w:p>
        </w:tc>
        <w:tc>
          <w:tcPr>
            <w:tcW w:type="dxa" w:w="2541"/>
            <w:vAlign w:val="top"/>
          </w:tcPr>
          <w:p>
            <w:r/>
            <w:r>
              <w:rPr>
                <w:b w:val="0"/>
                <w:sz w:val="15"/>
              </w:rPr>
              <w:t>Include to prevent action-centric blind spots.</w:t>
            </w:r>
          </w:p>
        </w:tc>
      </w:tr>
    </w:tbl>
    <w:p>
      <w:pPr>
        <w:pStyle w:val="Heading1"/>
      </w:pPr>
      <w:r>
        <w:t>5. Where PSF still appears to add value</w:t>
      </w:r>
    </w:p>
    <w:p>
      <w:pPr>
        <w:pStyle w:val="Heading2"/>
      </w:pPr>
      <w:r>
        <w:t>5.1 Transition-based rather than category-based diagnosis</w:t>
      </w:r>
    </w:p>
    <w:p>
      <w:pPr>
        <w:spacing w:after="80"/>
      </w:pPr>
      <w:r>
        <w:t>Most examined frameworks answer: What risks exist? Where in the lifecycle should they be managed? What capabilities cross a danger threshold? What attack/failure mode occurred? What control should be applied? PSF instead asks: at which transition did safety cease to hold?</w:t>
      </w:r>
    </w:p>
    <w:p>
      <w:pPr>
        <w:spacing w:after="80"/>
      </w:pPr>
      <w:r>
        <w:t>Working diagnostic graph: intended objective → adequate specification → situated recognition → action selection/execution → behavior under altered oversight → continue/defer/stop decision → effects on other actors → realized outcome. This should be treated as a diagnostic graph, not a literal chronological pipeline.</w:t>
      </w:r>
    </w:p>
    <w:p>
      <w:pPr>
        <w:pStyle w:val="Heading2"/>
      </w:pPr>
      <w:r>
        <w:t>5.2 Strongest decomposition: recognition ≠ enactment ≠ integrity</w:t>
      </w:r>
    </w:p>
    <w:p>
      <w:pPr>
        <w:spacing w:after="80"/>
      </w:pPr>
      <w:r>
        <w:t>The literature contains all three ingredients, but usually in different programs. Risk-awareness work asks whether a model identifies danger. Agentic-misalignment work asks whether it takes harmful action. Evaluation-awareness/alignment-faking work asks whether behavior changes with evaluation status. PSF can make them conditional tests: recognition failure K_safe=0; enactment failure K_safe=1 but A_safe=0; oversight-invariance failure A_safe|observed=1 but A_safe|unobserved=0.</w:t>
      </w:r>
    </w:p>
    <w:p>
      <w:pPr>
        <w:spacing w:after="80"/>
      </w:pPr>
      <w:r>
        <w:t>The diagnostic payoff is mitigation differentiation: improve risk representation/elicitation; improve action-time selection/constraints; or improve evaluation realism, monitoring-independent reliability, and defense in depth.</w:t>
      </w:r>
    </w:p>
    <w:p>
      <w:pPr>
        <w:pStyle w:val="Heading2"/>
      </w:pPr>
      <w:r>
        <w:t>5.3 Restraint as a runtime safety property</w:t>
      </w:r>
    </w:p>
    <w:p>
      <w:pPr>
        <w:spacing w:after="80"/>
      </w:pPr>
      <w:r>
        <w:t>Existing frameworks already contain oversight, deployment gates, escalation, corrigibility and risk treatment. The potential gap is to elevate restraint from an organizational control or shutdown property to an agent-level runtime decision: whether continued goal pursuit remains justified as uncertainty, externalities, irreversibility or authorization boundaries change. A benchmark can distinguish unsafe persistence from excessive abstention.</w:t>
      </w:r>
    </w:p>
    <w:p>
      <w:pPr>
        <w:pStyle w:val="Heading2"/>
      </w:pPr>
      <w:r>
        <w:t>5.4 Internal safety + external control</w:t>
      </w:r>
    </w:p>
    <w:p>
      <w:pPr>
        <w:spacing w:after="80"/>
      </w:pPr>
      <w:r>
        <w:t>Modern practice already strongly endorses safeguards, monitoring, permissions and governance. The contribution is not to introduce external control, but to use the philosophical contrast to articulate a two-layer safety case: behavioral reliability of the agent plus institutional/technical containment when that reliability fails.</w:t>
      </w:r>
    </w:p>
    <w:p>
      <w:pPr>
        <w:pStyle w:val="Heading1"/>
      </w:pPr>
      <w:r>
        <w:t>6. Claims from our earlier discussion that should be weakened</w:t>
      </w:r>
    </w:p>
    <w:p>
      <w:pPr>
        <w:pStyle w:val="ListBullet"/>
        <w:spacing w:after="40"/>
      </w:pPr>
      <w:r>
        <w:t>Do not present “safety is process, not property” as an absolute novelty claim; NIST and recent agentic frameworks already treat risk management as continuous/dynamic.</w:t>
      </w:r>
    </w:p>
    <w:p>
      <w:pPr>
        <w:pStyle w:val="ListBullet"/>
        <w:spacing w:after="40"/>
      </w:pPr>
      <w:r>
        <w:t>Do not say existing taxonomies are flat; the 2026 structured review explicitly uses interacting layers.</w:t>
      </w:r>
    </w:p>
    <w:p>
      <w:pPr>
        <w:pStyle w:val="ListBullet"/>
        <w:spacing w:after="40"/>
      </w:pPr>
      <w:r>
        <w:t>Do not present specification, multi-agent externalities, monitoring, or adversarial robustness as new categories.</w:t>
      </w:r>
    </w:p>
    <w:p>
      <w:pPr>
        <w:pStyle w:val="ListBullet"/>
        <w:spacing w:after="40"/>
      </w:pPr>
      <w:r>
        <w:t>Do not claim 慎独 discovers observed/unobserved behavior differences; alignment-faking and evaluation-awareness research directly overlaps.</w:t>
      </w:r>
    </w:p>
    <w:p>
      <w:pPr>
        <w:pStyle w:val="ListBullet"/>
        <w:spacing w:after="40"/>
      </w:pPr>
      <w:r>
        <w:t>Do not claim 知行合一 discovers the knowledge–behavior gap; 2026 papers already use that terminology.</w:t>
      </w:r>
    </w:p>
    <w:p>
      <w:pPr>
        <w:pStyle w:val="ListBullet"/>
        <w:spacing w:after="40"/>
      </w:pPr>
      <w:r>
        <w:t>Do not force every modern construct into a classical label; outcome, environment and tool mediation can remain modern components.</w:t>
      </w:r>
    </w:p>
    <w:p>
      <w:pPr>
        <w:pStyle w:val="Heading1"/>
      </w:pPr>
      <w:r>
        <w:t>7. Revised Process Safety Framework (PSF v0.2)</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E9E9E9"/>
          </w:tcPr>
          <w:p>
            <w:r/>
            <w:r>
              <w:rPr>
                <w:b/>
                <w:sz w:val="16"/>
              </w:rPr>
              <w:t>Component</w:t>
            </w:r>
          </w:p>
        </w:tc>
        <w:tc>
          <w:tcPr>
            <w:tcW w:type="dxa" w:w="2541"/>
            <w:vAlign w:val="top"/>
            <w:shd w:fill="E9E9E9"/>
          </w:tcPr>
          <w:p>
            <w:r/>
            <w:r>
              <w:rPr>
                <w:b/>
                <w:sz w:val="16"/>
              </w:rPr>
              <w:t>Philosophical resource</w:t>
            </w:r>
          </w:p>
        </w:tc>
        <w:tc>
          <w:tcPr>
            <w:tcW w:type="dxa" w:w="2541"/>
            <w:vAlign w:val="top"/>
            <w:shd w:fill="E9E9E9"/>
          </w:tcPr>
          <w:p>
            <w:r/>
            <w:r>
              <w:rPr>
                <w:b/>
                <w:sz w:val="16"/>
              </w:rPr>
              <w:t>Diagnostic question</w:t>
            </w:r>
          </w:p>
        </w:tc>
        <w:tc>
          <w:tcPr>
            <w:tcW w:type="dxa" w:w="2541"/>
            <w:vAlign w:val="top"/>
            <w:shd w:fill="E9E9E9"/>
          </w:tcPr>
          <w:p>
            <w:r/>
            <w:r>
              <w:rPr>
                <w:b/>
                <w:sz w:val="16"/>
              </w:rPr>
              <w:t>Failure class</w:t>
            </w:r>
          </w:p>
        </w:tc>
      </w:tr>
      <w:tr>
        <w:tc>
          <w:tcPr>
            <w:tcW w:type="dxa" w:w="2541"/>
            <w:vAlign w:val="top"/>
          </w:tcPr>
          <w:p>
            <w:r/>
            <w:r>
              <w:rPr>
                <w:b w:val="0"/>
                <w:sz w:val="15"/>
              </w:rPr>
              <w:t>A. Objective representation</w:t>
            </w:r>
          </w:p>
        </w:tc>
        <w:tc>
          <w:tcPr>
            <w:tcW w:type="dxa" w:w="2541"/>
            <w:vAlign w:val="top"/>
          </w:tcPr>
          <w:p>
            <w:r/>
            <w:r>
              <w:rPr>
                <w:b w:val="0"/>
                <w:sz w:val="15"/>
              </w:rPr>
              <w:t>正名</w:t>
            </w:r>
          </w:p>
        </w:tc>
        <w:tc>
          <w:tcPr>
            <w:tcW w:type="dxa" w:w="2541"/>
            <w:vAlign w:val="top"/>
          </w:tcPr>
          <w:p>
            <w:r/>
            <w:r>
              <w:rPr>
                <w:b w:val="0"/>
                <w:sz w:val="15"/>
              </w:rPr>
              <w:t>What is the system actually optimizing/authorized to do?</w:t>
            </w:r>
          </w:p>
        </w:tc>
        <w:tc>
          <w:tcPr>
            <w:tcW w:type="dxa" w:w="2541"/>
            <w:vAlign w:val="top"/>
          </w:tcPr>
          <w:p>
            <w:r/>
            <w:r>
              <w:rPr>
                <w:b w:val="0"/>
                <w:sz w:val="15"/>
              </w:rPr>
              <w:t>Specification/goal mismatch</w:t>
            </w:r>
          </w:p>
        </w:tc>
      </w:tr>
      <w:tr>
        <w:tc>
          <w:tcPr>
            <w:tcW w:type="dxa" w:w="2541"/>
            <w:vAlign w:val="top"/>
          </w:tcPr>
          <w:p>
            <w:r/>
            <w:r>
              <w:rPr>
                <w:b w:val="0"/>
                <w:sz w:val="15"/>
              </w:rPr>
              <w:t>B. Situated recognition</w:t>
            </w:r>
          </w:p>
        </w:tc>
        <w:tc>
          <w:tcPr>
            <w:tcW w:type="dxa" w:w="2541"/>
            <w:vAlign w:val="top"/>
          </w:tcPr>
          <w:p>
            <w:r/>
            <w:r>
              <w:rPr>
                <w:b w:val="0"/>
                <w:sz w:val="15"/>
              </w:rPr>
              <w:t>知</w:t>
            </w:r>
          </w:p>
        </w:tc>
        <w:tc>
          <w:tcPr>
            <w:tcW w:type="dxa" w:w="2541"/>
            <w:vAlign w:val="top"/>
          </w:tcPr>
          <w:p>
            <w:r/>
            <w:r>
              <w:rPr>
                <w:b w:val="0"/>
                <w:sz w:val="15"/>
              </w:rPr>
              <w:t>Does it recognize relevant risk, norm, uncertainty and context?</w:t>
            </w:r>
          </w:p>
        </w:tc>
        <w:tc>
          <w:tcPr>
            <w:tcW w:type="dxa" w:w="2541"/>
            <w:vAlign w:val="top"/>
          </w:tcPr>
          <w:p>
            <w:r/>
            <w:r>
              <w:rPr>
                <w:b w:val="0"/>
                <w:sz w:val="15"/>
              </w:rPr>
              <w:t>Recognition failure</w:t>
            </w:r>
          </w:p>
        </w:tc>
      </w:tr>
      <w:tr>
        <w:tc>
          <w:tcPr>
            <w:tcW w:type="dxa" w:w="2541"/>
            <w:vAlign w:val="top"/>
          </w:tcPr>
          <w:p>
            <w:r/>
            <w:r>
              <w:rPr>
                <w:b w:val="0"/>
                <w:sz w:val="15"/>
              </w:rPr>
              <w:t>C. Enactment consistency</w:t>
            </w:r>
          </w:p>
        </w:tc>
        <w:tc>
          <w:tcPr>
            <w:tcW w:type="dxa" w:w="2541"/>
            <w:vAlign w:val="top"/>
          </w:tcPr>
          <w:p>
            <w:r/>
            <w:r>
              <w:rPr>
                <w:b w:val="0"/>
                <w:sz w:val="15"/>
              </w:rPr>
              <w:t>知行合一</w:t>
            </w:r>
          </w:p>
        </w:tc>
        <w:tc>
          <w:tcPr>
            <w:tcW w:type="dxa" w:w="2541"/>
            <w:vAlign w:val="top"/>
          </w:tcPr>
          <w:p>
            <w:r/>
            <w:r>
              <w:rPr>
                <w:b w:val="0"/>
                <w:sz w:val="15"/>
              </w:rPr>
              <w:t>Does demonstrated safety understanding govern tool-using behavior?</w:t>
            </w:r>
          </w:p>
        </w:tc>
        <w:tc>
          <w:tcPr>
            <w:tcW w:type="dxa" w:w="2541"/>
            <w:vAlign w:val="top"/>
          </w:tcPr>
          <w:p>
            <w:r/>
            <w:r>
              <w:rPr>
                <w:b w:val="0"/>
                <w:sz w:val="15"/>
              </w:rPr>
              <w:t>Knowledge–action failure</w:t>
            </w:r>
          </w:p>
        </w:tc>
      </w:tr>
      <w:tr>
        <w:tc>
          <w:tcPr>
            <w:tcW w:type="dxa" w:w="2541"/>
            <w:vAlign w:val="top"/>
          </w:tcPr>
          <w:p>
            <w:r/>
            <w:r>
              <w:rPr>
                <w:b w:val="0"/>
                <w:sz w:val="15"/>
              </w:rPr>
              <w:t>D. Oversight invariance</w:t>
            </w:r>
          </w:p>
        </w:tc>
        <w:tc>
          <w:tcPr>
            <w:tcW w:type="dxa" w:w="2541"/>
            <w:vAlign w:val="top"/>
          </w:tcPr>
          <w:p>
            <w:r/>
            <w:r>
              <w:rPr>
                <w:b w:val="0"/>
                <w:sz w:val="15"/>
              </w:rPr>
              <w:t>慎独</w:t>
            </w:r>
          </w:p>
        </w:tc>
        <w:tc>
          <w:tcPr>
            <w:tcW w:type="dxa" w:w="2541"/>
            <w:vAlign w:val="top"/>
          </w:tcPr>
          <w:p>
            <w:r/>
            <w:r>
              <w:rPr>
                <w:b w:val="0"/>
                <w:sz w:val="15"/>
              </w:rPr>
              <w:t>Does safe behavior persist across perceived monitoring/evaluation states?</w:t>
            </w:r>
          </w:p>
        </w:tc>
        <w:tc>
          <w:tcPr>
            <w:tcW w:type="dxa" w:w="2541"/>
            <w:vAlign w:val="top"/>
          </w:tcPr>
          <w:p>
            <w:r/>
            <w:r>
              <w:rPr>
                <w:b w:val="0"/>
                <w:sz w:val="15"/>
              </w:rPr>
              <w:t>Oversight-dependent compliance</w:t>
            </w:r>
          </w:p>
        </w:tc>
      </w:tr>
      <w:tr>
        <w:tc>
          <w:tcPr>
            <w:tcW w:type="dxa" w:w="2541"/>
            <w:vAlign w:val="top"/>
          </w:tcPr>
          <w:p>
            <w:r/>
            <w:r>
              <w:rPr>
                <w:b w:val="0"/>
                <w:sz w:val="15"/>
              </w:rPr>
              <w:t>E. Calibrated restraint</w:t>
            </w:r>
          </w:p>
        </w:tc>
        <w:tc>
          <w:tcPr>
            <w:tcW w:type="dxa" w:w="2541"/>
            <w:vAlign w:val="top"/>
          </w:tcPr>
          <w:p>
            <w:r/>
            <w:r>
              <w:rPr>
                <w:b w:val="0"/>
                <w:sz w:val="15"/>
              </w:rPr>
              <w:t>知止 / 无为</w:t>
            </w:r>
          </w:p>
        </w:tc>
        <w:tc>
          <w:tcPr>
            <w:tcW w:type="dxa" w:w="2541"/>
            <w:vAlign w:val="top"/>
          </w:tcPr>
          <w:p>
            <w:r/>
            <w:r>
              <w:rPr>
                <w:b w:val="0"/>
                <w:sz w:val="15"/>
              </w:rPr>
              <w:t>Does it defer, abstain or stop when continuation becomes unsafe/unauthorized?</w:t>
            </w:r>
          </w:p>
        </w:tc>
        <w:tc>
          <w:tcPr>
            <w:tcW w:type="dxa" w:w="2541"/>
            <w:vAlign w:val="top"/>
          </w:tcPr>
          <w:p>
            <w:r/>
            <w:r>
              <w:rPr>
                <w:b w:val="0"/>
                <w:sz w:val="15"/>
              </w:rPr>
              <w:t>Unsafe persistence / overreach</w:t>
            </w:r>
          </w:p>
        </w:tc>
      </w:tr>
      <w:tr>
        <w:tc>
          <w:tcPr>
            <w:tcW w:type="dxa" w:w="2541"/>
            <w:vAlign w:val="top"/>
          </w:tcPr>
          <w:p>
            <w:r/>
            <w:r>
              <w:rPr>
                <w:b w:val="0"/>
                <w:sz w:val="15"/>
              </w:rPr>
              <w:t>F. Relational/system effects</w:t>
            </w:r>
          </w:p>
        </w:tc>
        <w:tc>
          <w:tcPr>
            <w:tcW w:type="dxa" w:w="2541"/>
            <w:vAlign w:val="top"/>
          </w:tcPr>
          <w:p>
            <w:r/>
            <w:r>
              <w:rPr>
                <w:b w:val="0"/>
                <w:sz w:val="15"/>
              </w:rPr>
              <w:t>兼爱 / 恕</w:t>
            </w:r>
          </w:p>
        </w:tc>
        <w:tc>
          <w:tcPr>
            <w:tcW w:type="dxa" w:w="2541"/>
            <w:vAlign w:val="top"/>
          </w:tcPr>
          <w:p>
            <w:r/>
            <w:r>
              <w:rPr>
                <w:b w:val="0"/>
                <w:sz w:val="15"/>
              </w:rPr>
              <w:t>Are third parties and multi-agent externalities included?</w:t>
            </w:r>
          </w:p>
        </w:tc>
        <w:tc>
          <w:tcPr>
            <w:tcW w:type="dxa" w:w="2541"/>
            <w:vAlign w:val="top"/>
          </w:tcPr>
          <w:p>
            <w:r/>
            <w:r>
              <w:rPr>
                <w:b w:val="0"/>
                <w:sz w:val="15"/>
              </w:rPr>
              <w:t>Local alignment / systemic harm</w:t>
            </w:r>
          </w:p>
        </w:tc>
      </w:tr>
      <w:tr>
        <w:tc>
          <w:tcPr>
            <w:tcW w:type="dxa" w:w="2541"/>
            <w:vAlign w:val="top"/>
          </w:tcPr>
          <w:p>
            <w:r/>
            <w:r>
              <w:rPr>
                <w:b w:val="0"/>
                <w:sz w:val="15"/>
              </w:rPr>
              <w:t>G. Outcome feedback</w:t>
            </w:r>
          </w:p>
        </w:tc>
        <w:tc>
          <w:tcPr>
            <w:tcW w:type="dxa" w:w="2541"/>
            <w:vAlign w:val="top"/>
          </w:tcPr>
          <w:p>
            <w:r/>
            <w:r>
              <w:rPr>
                <w:b w:val="0"/>
                <w:sz w:val="15"/>
              </w:rPr>
              <w:t>Modern systems layer</w:t>
            </w:r>
          </w:p>
        </w:tc>
        <w:tc>
          <w:tcPr>
            <w:tcW w:type="dxa" w:w="2541"/>
            <w:vAlign w:val="top"/>
          </w:tcPr>
          <w:p>
            <w:r/>
            <w:r>
              <w:rPr>
                <w:b w:val="0"/>
                <w:sz w:val="15"/>
              </w:rPr>
              <w:t>Did safe-seeming action yield acceptable consequences?</w:t>
            </w:r>
          </w:p>
        </w:tc>
        <w:tc>
          <w:tcPr>
            <w:tcW w:type="dxa" w:w="2541"/>
            <w:vAlign w:val="top"/>
          </w:tcPr>
          <w:p>
            <w:r/>
            <w:r>
              <w:rPr>
                <w:b w:val="0"/>
                <w:sz w:val="15"/>
              </w:rPr>
              <w:t>Unintended consequence</w:t>
            </w:r>
          </w:p>
        </w:tc>
      </w:tr>
      <w:tr>
        <w:tc>
          <w:tcPr>
            <w:tcW w:type="dxa" w:w="2541"/>
            <w:vAlign w:val="top"/>
          </w:tcPr>
          <w:p>
            <w:r/>
            <w:r>
              <w:rPr>
                <w:b w:val="0"/>
                <w:sz w:val="15"/>
              </w:rPr>
              <w:t>Cross-cutting external control</w:t>
            </w:r>
          </w:p>
        </w:tc>
        <w:tc>
          <w:tcPr>
            <w:tcW w:type="dxa" w:w="2541"/>
            <w:vAlign w:val="top"/>
          </w:tcPr>
          <w:p>
            <w:r/>
            <w:r>
              <w:rPr>
                <w:b w:val="0"/>
                <w:sz w:val="15"/>
              </w:rPr>
              <w:t>法 / 术 / 势 / 形名</w:t>
            </w:r>
          </w:p>
        </w:tc>
        <w:tc>
          <w:tcPr>
            <w:tcW w:type="dxa" w:w="2541"/>
            <w:vAlign w:val="top"/>
          </w:tcPr>
          <w:p>
            <w:r/>
            <w:r>
              <w:rPr>
                <w:b w:val="0"/>
                <w:sz w:val="15"/>
              </w:rPr>
              <w:t>Do policies, monitoring, permissions and audits contain failure?</w:t>
            </w:r>
          </w:p>
        </w:tc>
        <w:tc>
          <w:tcPr>
            <w:tcW w:type="dxa" w:w="2541"/>
            <w:vAlign w:val="top"/>
          </w:tcPr>
          <w:p>
            <w:r/>
            <w:r>
              <w:rPr>
                <w:b w:val="0"/>
                <w:sz w:val="15"/>
              </w:rPr>
              <w:t>Control/assurance failure</w:t>
            </w:r>
          </w:p>
        </w:tc>
      </w:tr>
      <w:tr>
        <w:tc>
          <w:tcPr>
            <w:tcW w:type="dxa" w:w="2541"/>
            <w:vAlign w:val="top"/>
          </w:tcPr>
          <w:p>
            <w:r/>
            <w:r>
              <w:rPr>
                <w:b w:val="0"/>
                <w:sz w:val="15"/>
              </w:rPr>
              <w:t>Cross-cutting adversarial context</w:t>
            </w:r>
          </w:p>
        </w:tc>
        <w:tc>
          <w:tcPr>
            <w:tcW w:type="dxa" w:w="2541"/>
            <w:vAlign w:val="top"/>
          </w:tcPr>
          <w:p>
            <w:r/>
            <w:r>
              <w:rPr>
                <w:b w:val="0"/>
                <w:sz w:val="15"/>
              </w:rPr>
              <w:t>兵家</w:t>
            </w:r>
          </w:p>
        </w:tc>
        <w:tc>
          <w:tcPr>
            <w:tcW w:type="dxa" w:w="2541"/>
            <w:vAlign w:val="top"/>
          </w:tcPr>
          <w:p>
            <w:r/>
            <w:r>
              <w:rPr>
                <w:b w:val="0"/>
                <w:sz w:val="15"/>
              </w:rPr>
              <w:t>How do deception, adaptation and asymmetric information alter all stages?</w:t>
            </w:r>
          </w:p>
        </w:tc>
        <w:tc>
          <w:tcPr>
            <w:tcW w:type="dxa" w:w="2541"/>
            <w:vAlign w:val="top"/>
          </w:tcPr>
          <w:p>
            <w:r/>
            <w:r>
              <w:rPr>
                <w:b w:val="0"/>
                <w:sz w:val="15"/>
              </w:rPr>
              <w:t>Adversarial failure</w:t>
            </w:r>
          </w:p>
        </w:tc>
      </w:tr>
    </w:tbl>
    <w:p>
      <w:pPr>
        <w:pStyle w:val="Heading1"/>
      </w:pPr>
      <w:r>
        <w:t>8. Defensible central proposition</w:t>
      </w:r>
    </w:p>
    <w:p>
      <w:pPr>
        <w:spacing w:after="80"/>
      </w:pPr>
      <w:r>
        <w:t>AI safety failures in agentic systems can be diagnostically decomposed not only by risk domain or threat source, but by conditional failures in the translation of intended objectives into situated behavior and consequences. Distinguishing specification, recognition, enactment, oversight invariance, restraint, and relational/system effects yields different evaluation targets and mitigation strategies.</w:t>
      </w:r>
    </w:p>
    <w:p>
      <w:pPr>
        <w:spacing w:after="80"/>
      </w:pPr>
      <w:r>
        <w:t>The empirical burden is to show that this decomposition improves diagnosis or intervention selection—not that the ingredients have never appeared before.</w:t>
      </w:r>
    </w:p>
    <w:p>
      <w:pPr>
        <w:pStyle w:val="Heading1"/>
      </w:pPr>
      <w:r>
        <w:t>9. Validation design</w:t>
      </w:r>
    </w:p>
    <w:p>
      <w:pPr>
        <w:pStyle w:val="Heading2"/>
      </w:pPr>
      <w:r>
        <w:t>9.1 Failure-corpus study</w:t>
      </w:r>
    </w:p>
    <w:p>
      <w:pPr>
        <w:spacing w:after="80"/>
      </w:pPr>
      <w:r>
        <w:t>Build approximately 150–250 published/reproducible cases spanning specification gaming, goal misgeneralization, harmful tool use, agentic misalignment, alignment faking/evaluation awareness, unsafe persistence, prompt injection, multi-agent conflict/collusion, and social externalities. Start with a 25–40 case pilot.</w:t>
      </w:r>
    </w:p>
    <w:p>
      <w:pPr>
        <w:pStyle w:val="Heading2"/>
      </w:pPr>
      <w:r>
        <w:t>9.2 Annotation</w:t>
      </w:r>
    </w:p>
    <w:p>
      <w:pPr>
        <w:pStyle w:val="ListBullet"/>
        <w:spacing w:after="40"/>
      </w:pPr>
      <w:r>
        <w:t>PSF codebook with explicit indicators and an ‘insufficient evidence’ option.</w:t>
      </w:r>
    </w:p>
    <w:p>
      <w:pPr>
        <w:pStyle w:val="ListBullet"/>
        <w:spacing w:after="40"/>
      </w:pPr>
      <w:r>
        <w:t>At least two independent coders; preferably AI-safety researchers plus philosophy-informed construct review.</w:t>
      </w:r>
    </w:p>
    <w:p>
      <w:pPr>
        <w:pStyle w:val="ListBullet"/>
        <w:spacing w:after="40"/>
      </w:pPr>
      <w:r>
        <w:t>Multi-label coding allowed for upstream and downstream failures.</w:t>
      </w:r>
    </w:p>
    <w:p>
      <w:pPr>
        <w:pStyle w:val="ListBullet"/>
        <w:spacing w:after="40"/>
      </w:pPr>
      <w:r>
        <w:t>Measure Cohen’s κ or Krippendorff’s α, unresolved-case rate and coding time.</w:t>
      </w:r>
    </w:p>
    <w:p>
      <w:pPr>
        <w:pStyle w:val="ListBullet"/>
        <w:spacing w:after="40"/>
      </w:pPr>
      <w:r>
        <w:t>Freeze the codebook before the confirmatory subset.</w:t>
      </w:r>
    </w:p>
    <w:p>
      <w:pPr>
        <w:pStyle w:val="Heading2"/>
      </w:pPr>
      <w:r>
        <w:t>9.3 Head-to-head comparison</w:t>
      </w:r>
    </w:p>
    <w:p>
      <w:pPr>
        <w:spacing w:after="80"/>
      </w:pPr>
      <w:r>
        <w:t>Compare PSF against a small reference set: the 2026 eight-family academic agentic-safety taxonomy; Microsoft’s failure taxonomy or GovTech ARC; and NIST AI RMF as a governance/lifecycle reference. Primary outcomes: coverage, diagnostic specificity, inter-rater reliability, mitigation differentiation, and expert-rated actionability.</w:t>
      </w:r>
    </w:p>
    <w:p>
      <w:pPr>
        <w:pStyle w:val="Heading1"/>
      </w:pPr>
      <w:r>
        <w:t>10. Falsification criteria</w:t>
      </w:r>
    </w:p>
    <w:p>
      <w:pPr>
        <w:pStyle w:val="ListBullet"/>
        <w:spacing w:after="40"/>
      </w:pPr>
      <w:r>
        <w:t>Coders cannot reliably distinguish recognition from enactment failures using available evidence.</w:t>
      </w:r>
    </w:p>
    <w:p>
      <w:pPr>
        <w:pStyle w:val="ListBullet"/>
        <w:spacing w:after="40"/>
      </w:pPr>
      <w:r>
        <w:t>Oversight invariance collapses into existing alignment-faking/evaluation-awareness categories without added cases or mitigation distinctions.</w:t>
      </w:r>
    </w:p>
    <w:p>
      <w:pPr>
        <w:pStyle w:val="ListBullet"/>
        <w:spacing w:after="40"/>
      </w:pPr>
      <w:r>
        <w:t>Restraint cannot be operationalized independently of generic oversight/corrigibility.</w:t>
      </w:r>
    </w:p>
    <w:p>
      <w:pPr>
        <w:pStyle w:val="ListBullet"/>
        <w:spacing w:after="40"/>
      </w:pPr>
      <w:r>
        <w:t>PSF has lower reliability and no compensating diagnostic/actionability gain.</w:t>
      </w:r>
    </w:p>
    <w:p>
      <w:pPr>
        <w:pStyle w:val="ListBullet"/>
        <w:spacing w:after="40"/>
      </w:pPr>
      <w:r>
        <w:t>Removing the philosophical layer leaves the same framework with no loss of theoretical insight.</w:t>
      </w:r>
    </w:p>
    <w:p>
      <w:pPr>
        <w:pStyle w:val="ListBullet"/>
        <w:spacing w:after="40"/>
      </w:pPr>
      <w:r>
        <w:t>A single existing taxonomy is found to provide essentially the same conditional transition structure.</w:t>
      </w:r>
    </w:p>
    <w:p>
      <w:pPr>
        <w:pStyle w:val="Heading1"/>
      </w:pPr>
      <w:r>
        <w:t>11. Proposed Paper 1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E9E9E9"/>
          </w:tcPr>
          <w:p>
            <w:r/>
            <w:r>
              <w:rPr>
                <w:b/>
                <w:sz w:val="16"/>
              </w:rPr>
              <w:t>Section</w:t>
            </w:r>
          </w:p>
        </w:tc>
        <w:tc>
          <w:tcPr>
            <w:tcW w:type="dxa" w:w="3389"/>
            <w:vAlign w:val="top"/>
            <w:shd w:fill="E9E9E9"/>
          </w:tcPr>
          <w:p>
            <w:r/>
            <w:r>
              <w:rPr>
                <w:b/>
                <w:sz w:val="16"/>
              </w:rPr>
              <w:t>Content</w:t>
            </w:r>
          </w:p>
        </w:tc>
        <w:tc>
          <w:tcPr>
            <w:tcW w:type="dxa" w:w="3389"/>
            <w:vAlign w:val="top"/>
            <w:shd w:fill="E9E9E9"/>
          </w:tcPr>
          <w:p>
            <w:r/>
            <w:r>
              <w:rPr>
                <w:b/>
                <w:sz w:val="16"/>
              </w:rPr>
              <w:t>Purpose</w:t>
            </w:r>
          </w:p>
        </w:tc>
      </w:tr>
      <w:tr>
        <w:tc>
          <w:tcPr>
            <w:tcW w:type="dxa" w:w="3389"/>
            <w:vAlign w:val="top"/>
          </w:tcPr>
          <w:p>
            <w:r/>
            <w:r>
              <w:rPr>
                <w:b w:val="0"/>
                <w:sz w:val="15"/>
              </w:rPr>
              <w:t>Introduction</w:t>
            </w:r>
          </w:p>
        </w:tc>
        <w:tc>
          <w:tcPr>
            <w:tcW w:type="dxa" w:w="3389"/>
            <w:vAlign w:val="top"/>
          </w:tcPr>
          <w:p>
            <w:r/>
            <w:r>
              <w:rPr>
                <w:b w:val="0"/>
                <w:sz w:val="15"/>
              </w:rPr>
              <w:t>Risk lists do not necessarily diagnose where safety breaks in situated agency.</w:t>
            </w:r>
          </w:p>
        </w:tc>
        <w:tc>
          <w:tcPr>
            <w:tcW w:type="dxa" w:w="3389"/>
            <w:vAlign w:val="top"/>
          </w:tcPr>
          <w:p>
            <w:r/>
            <w:r>
              <w:rPr>
                <w:b w:val="0"/>
                <w:sz w:val="15"/>
              </w:rPr>
              <w:t>Motivate process-level decomposition.</w:t>
            </w:r>
          </w:p>
        </w:tc>
      </w:tr>
      <w:tr>
        <w:tc>
          <w:tcPr>
            <w:tcW w:type="dxa" w:w="3389"/>
            <w:vAlign w:val="top"/>
          </w:tcPr>
          <w:p>
            <w:r/>
            <w:r>
              <w:rPr>
                <w:b w:val="0"/>
                <w:sz w:val="15"/>
              </w:rPr>
              <w:t>Related frameworks</w:t>
            </w:r>
          </w:p>
        </w:tc>
        <w:tc>
          <w:tcPr>
            <w:tcW w:type="dxa" w:w="3389"/>
            <w:vAlign w:val="top"/>
          </w:tcPr>
          <w:p>
            <w:r/>
            <w:r>
              <w:rPr>
                <w:b w:val="0"/>
                <w:sz w:val="15"/>
              </w:rPr>
              <w:t>NIST/ISO, frontier frameworks, MIT, Microsoft/ARC, academic agentic and multi-agent taxonomies.</w:t>
            </w:r>
          </w:p>
        </w:tc>
        <w:tc>
          <w:tcPr>
            <w:tcW w:type="dxa" w:w="3389"/>
            <w:vAlign w:val="top"/>
          </w:tcPr>
          <w:p>
            <w:r/>
            <w:r>
              <w:rPr>
                <w:b w:val="0"/>
                <w:sz w:val="15"/>
              </w:rPr>
              <w:t>Establish novelty baseline honestly.</w:t>
            </w:r>
          </w:p>
        </w:tc>
      </w:tr>
      <w:tr>
        <w:tc>
          <w:tcPr>
            <w:tcW w:type="dxa" w:w="3389"/>
            <w:vAlign w:val="top"/>
          </w:tcPr>
          <w:p>
            <w:r/>
            <w:r>
              <w:rPr>
                <w:b w:val="0"/>
                <w:sz w:val="15"/>
              </w:rPr>
              <w:t>Philosophical reconstruction</w:t>
            </w:r>
          </w:p>
        </w:tc>
        <w:tc>
          <w:tcPr>
            <w:tcW w:type="dxa" w:w="3389"/>
            <w:vAlign w:val="top"/>
          </w:tcPr>
          <w:p>
            <w:r/>
            <w:r>
              <w:rPr>
                <w:b w:val="0"/>
                <w:sz w:val="15"/>
              </w:rPr>
              <w:t>正名、知/行、慎独、知止、兼爱; external-control/adversarial traditions.</w:t>
            </w:r>
          </w:p>
        </w:tc>
        <w:tc>
          <w:tcPr>
            <w:tcW w:type="dxa" w:w="3389"/>
            <w:vAlign w:val="top"/>
          </w:tcPr>
          <w:p>
            <w:r/>
            <w:r>
              <w:rPr>
                <w:b w:val="0"/>
                <w:sz w:val="15"/>
              </w:rPr>
              <w:t>Derive distinctions without anachronism.</w:t>
            </w:r>
          </w:p>
        </w:tc>
      </w:tr>
      <w:tr>
        <w:tc>
          <w:tcPr>
            <w:tcW w:type="dxa" w:w="3389"/>
            <w:vAlign w:val="top"/>
          </w:tcPr>
          <w:p>
            <w:r/>
            <w:r>
              <w:rPr>
                <w:b w:val="0"/>
                <w:sz w:val="15"/>
              </w:rPr>
              <w:t>Process Safety Framework</w:t>
            </w:r>
          </w:p>
        </w:tc>
        <w:tc>
          <w:tcPr>
            <w:tcW w:type="dxa" w:w="3389"/>
            <w:vAlign w:val="top"/>
          </w:tcPr>
          <w:p>
            <w:r/>
            <w:r>
              <w:rPr>
                <w:b w:val="0"/>
                <w:sz w:val="15"/>
              </w:rPr>
              <w:t>Diagnostic graph + formal failure definitions.</w:t>
            </w:r>
          </w:p>
        </w:tc>
        <w:tc>
          <w:tcPr>
            <w:tcW w:type="dxa" w:w="3389"/>
            <w:vAlign w:val="top"/>
          </w:tcPr>
          <w:p>
            <w:r/>
            <w:r>
              <w:rPr>
                <w:b w:val="0"/>
                <w:sz w:val="15"/>
              </w:rPr>
              <w:t>Core theoretical contribution.</w:t>
            </w:r>
          </w:p>
        </w:tc>
      </w:tr>
      <w:tr>
        <w:tc>
          <w:tcPr>
            <w:tcW w:type="dxa" w:w="3389"/>
            <w:vAlign w:val="top"/>
          </w:tcPr>
          <w:p>
            <w:r/>
            <w:r>
              <w:rPr>
                <w:b w:val="0"/>
                <w:sz w:val="15"/>
              </w:rPr>
              <w:t>Mapping study</w:t>
            </w:r>
          </w:p>
        </w:tc>
        <w:tc>
          <w:tcPr>
            <w:tcW w:type="dxa" w:w="3389"/>
            <w:vAlign w:val="top"/>
          </w:tcPr>
          <w:p>
            <w:r/>
            <w:r>
              <w:rPr>
                <w:b w:val="0"/>
                <w:sz w:val="15"/>
              </w:rPr>
              <w:t>Map major safety literatures/cases into PSF.</w:t>
            </w:r>
          </w:p>
        </w:tc>
        <w:tc>
          <w:tcPr>
            <w:tcW w:type="dxa" w:w="3389"/>
            <w:vAlign w:val="top"/>
          </w:tcPr>
          <w:p>
            <w:r/>
            <w:r>
              <w:rPr>
                <w:b w:val="0"/>
                <w:sz w:val="15"/>
              </w:rPr>
              <w:t>Show integration and gaps.</w:t>
            </w:r>
          </w:p>
        </w:tc>
      </w:tr>
      <w:tr>
        <w:tc>
          <w:tcPr>
            <w:tcW w:type="dxa" w:w="3389"/>
            <w:vAlign w:val="top"/>
          </w:tcPr>
          <w:p>
            <w:r/>
            <w:r>
              <w:rPr>
                <w:b w:val="0"/>
                <w:sz w:val="15"/>
              </w:rPr>
              <w:t>Validation</w:t>
            </w:r>
          </w:p>
        </w:tc>
        <w:tc>
          <w:tcPr>
            <w:tcW w:type="dxa" w:w="3389"/>
            <w:vAlign w:val="top"/>
          </w:tcPr>
          <w:p>
            <w:r/>
            <w:r>
              <w:rPr>
                <w:b w:val="0"/>
                <w:sz w:val="15"/>
              </w:rPr>
              <w:t>Corpus coding + head-to-head comparison.</w:t>
            </w:r>
          </w:p>
        </w:tc>
        <w:tc>
          <w:tcPr>
            <w:tcW w:type="dxa" w:w="3389"/>
            <w:vAlign w:val="top"/>
          </w:tcPr>
          <w:p>
            <w:r/>
            <w:r>
              <w:rPr>
                <w:b w:val="0"/>
                <w:sz w:val="15"/>
              </w:rPr>
              <w:t>Test diagnostic value.</w:t>
            </w:r>
          </w:p>
        </w:tc>
      </w:tr>
      <w:tr>
        <w:tc>
          <w:tcPr>
            <w:tcW w:type="dxa" w:w="3389"/>
            <w:vAlign w:val="top"/>
          </w:tcPr>
          <w:p>
            <w:r/>
            <w:r>
              <w:rPr>
                <w:b w:val="0"/>
                <w:sz w:val="15"/>
              </w:rPr>
              <w:t>Research agenda</w:t>
            </w:r>
          </w:p>
        </w:tc>
        <w:tc>
          <w:tcPr>
            <w:tcW w:type="dxa" w:w="3389"/>
            <w:vAlign w:val="top"/>
          </w:tcPr>
          <w:p>
            <w:r/>
            <w:r>
              <w:rPr>
                <w:b w:val="0"/>
                <w:sz w:val="15"/>
              </w:rPr>
              <w:t>ZhixingBench, oversight invariance, StopBench, multi-agent, cyber.</w:t>
            </w:r>
          </w:p>
        </w:tc>
        <w:tc>
          <w:tcPr>
            <w:tcW w:type="dxa" w:w="3389"/>
            <w:vAlign w:val="top"/>
          </w:tcPr>
          <w:p>
            <w:r/>
            <w:r>
              <w:rPr>
                <w:b w:val="0"/>
                <w:sz w:val="15"/>
              </w:rPr>
              <w:t>Generate falsifiable follow-on work.</w:t>
            </w:r>
          </w:p>
        </w:tc>
      </w:tr>
      <w:tr>
        <w:tc>
          <w:tcPr>
            <w:tcW w:type="dxa" w:w="3389"/>
            <w:vAlign w:val="top"/>
          </w:tcPr>
          <w:p>
            <w:r/>
            <w:r>
              <w:rPr>
                <w:b w:val="0"/>
                <w:sz w:val="15"/>
              </w:rPr>
              <w:t>Limitations</w:t>
            </w:r>
          </w:p>
        </w:tc>
        <w:tc>
          <w:tcPr>
            <w:tcW w:type="dxa" w:w="3389"/>
            <w:vAlign w:val="top"/>
          </w:tcPr>
          <w:p>
            <w:r/>
            <w:r>
              <w:rPr>
                <w:b w:val="0"/>
                <w:sz w:val="15"/>
              </w:rPr>
              <w:t>Cultural selectivity, overlap, construct validity, anthropomorphism.</w:t>
            </w:r>
          </w:p>
        </w:tc>
        <w:tc>
          <w:tcPr>
            <w:tcW w:type="dxa" w:w="3389"/>
            <w:vAlign w:val="top"/>
          </w:tcPr>
          <w:p>
            <w:r/>
            <w:r>
              <w:rPr>
                <w:b w:val="0"/>
                <w:sz w:val="15"/>
              </w:rPr>
              <w:t>Pre-empt critiques.</w:t>
            </w:r>
          </w:p>
        </w:tc>
      </w:tr>
    </w:tbl>
    <w:p>
      <w:pPr>
        <w:pStyle w:val="Heading1"/>
      </w:pPr>
      <w:r>
        <w:t>12. Research-program priorities</w:t>
      </w:r>
    </w:p>
    <w:p>
      <w:pPr>
        <w:spacing w:after="80"/>
      </w:pPr>
      <w:r>
        <w:t>1) Framework paper: proceed as a validated diagnostic process theory, not a new list. 2) ZhixingBench: remains the best first empirical child project because it tests recognition→action. 3) Stop/Defer benchmark: likely more whitespace than specification or evaluation awareness. 4) Shendu: retain as oversight invariance, explicitly compared with alignment-faking/evaluation-awareness. 5) Cybersecurity: use PSF to diagnose autonomous defensive agents across authorization, recognition, action, audit-state dependence, scope restraint, externalities and adversarial adaptation.</w:t>
      </w:r>
    </w:p>
    <w:p>
      <w:pPr>
        <w:pStyle w:val="Heading1"/>
      </w:pPr>
      <w:r>
        <w:t>13. Verdict and immediate next step</w:t>
      </w:r>
    </w:p>
    <w:p>
      <w:pPr>
        <w:spacing w:after="80"/>
      </w:pPr>
      <w:r>
        <w:t>Proceed. The framework survives the gap analysis in a narrower and stronger form. Its credible contribution is structural and diagnostic novelty, not categorical novelty. The immediate next step should be a 25–40 case pilot corpus and codebook. If two independent coders can distinguish PSF failure locations with acceptable agreement and those distinctions imply different mitigations, the theory has empirical legs; otherwise revise the ontology before writing the full paper.</w:t>
      </w:r>
    </w:p>
    <w:p>
      <w:pPr>
        <w:pStyle w:val="Heading1"/>
      </w:pPr>
      <w:r>
        <w:t>References / evidence base</w:t>
      </w:r>
    </w:p>
    <w:p>
      <w:pPr>
        <w:spacing w:after="40"/>
      </w:pPr>
      <w:r>
        <w:rPr>
          <w:sz w:val="16"/>
        </w:rPr>
        <w:t>1. NIST, AI Risk Management Framework 1.0 (2023): https://www.nist.gov/publications/artificial-intelligence-risk-management-framework-ai-rmf-10</w:t>
      </w:r>
    </w:p>
    <w:p>
      <w:pPr>
        <w:spacing w:after="40"/>
      </w:pPr>
      <w:r>
        <w:rPr>
          <w:sz w:val="16"/>
        </w:rPr>
        <w:t>2. NIST AI RMF Core: https://airc.nist.gov/airmf-resources/airmf/5-sec-core/</w:t>
      </w:r>
    </w:p>
    <w:p>
      <w:pPr>
        <w:spacing w:after="40"/>
      </w:pPr>
      <w:r>
        <w:rPr>
          <w:sz w:val="16"/>
        </w:rPr>
        <w:t>3. ISO/IEC 23894:2023: https://www.iso.org/standard/77304.html</w:t>
      </w:r>
    </w:p>
    <w:p>
      <w:pPr>
        <w:spacing w:after="40"/>
      </w:pPr>
      <w:r>
        <w:rPr>
          <w:sz w:val="16"/>
        </w:rPr>
        <w:t>4. OpenAI, Updated Preparedness Framework (2025): https://openai.com/index/updating-our-preparedness-framework/</w:t>
      </w:r>
    </w:p>
    <w:p>
      <w:pPr>
        <w:spacing w:after="40"/>
      </w:pPr>
      <w:r>
        <w:rPr>
          <w:sz w:val="16"/>
        </w:rPr>
        <w:t>5. OpenAI, Frontier Governance Framework (2026): https://openai.com/index/openai-frontier-governance-framework/</w:t>
      </w:r>
    </w:p>
    <w:p>
      <w:pPr>
        <w:spacing w:after="40"/>
      </w:pPr>
      <w:r>
        <w:rPr>
          <w:sz w:val="16"/>
        </w:rPr>
        <w:t>6. Google DeepMind, Frontier Safety Framework update (2025): https://deepmind.google/blog/updating-the-frontier-safety-framework/</w:t>
      </w:r>
    </w:p>
    <w:p>
      <w:pPr>
        <w:spacing w:after="40"/>
      </w:pPr>
      <w:r>
        <w:rPr>
          <w:sz w:val="16"/>
        </w:rPr>
        <w:t>7. Anthropic, Frontier Safety Roadmap: https://www.anthropic.com/responsible-scaling-policy/roadmap</w:t>
      </w:r>
    </w:p>
    <w:p>
      <w:pPr>
        <w:spacing w:after="40"/>
      </w:pPr>
      <w:r>
        <w:rPr>
          <w:sz w:val="16"/>
        </w:rPr>
        <w:t>8. MIT AI Risk Repository: https://airisk.mit.edu/risks</w:t>
      </w:r>
    </w:p>
    <w:p>
      <w:pPr>
        <w:spacing w:after="40"/>
      </w:pPr>
      <w:r>
        <w:rPr>
          <w:sz w:val="16"/>
        </w:rPr>
        <w:t>9. Microsoft AI Red Team, Taxonomy of Failure Modes in Agentic AI Systems v2.0 (2026): https://cdn-dynmedia-1.microsoft.com/is/content/microsoftcorp/microsoft/bade/documents/products-and-services/en-us/security/Taxonomy-of-Failure-Modes-in-Agentic-AI-Systems-v2-0.pdf</w:t>
      </w:r>
    </w:p>
    <w:p>
      <w:pPr>
        <w:spacing w:after="40"/>
      </w:pPr>
      <w:r>
        <w:rPr>
          <w:sz w:val="16"/>
        </w:rPr>
        <w:t>10. GovTech Singapore, Agentic Risk &amp; Capability Framework (2026): https://govtech-responsibleai.github.io/playbook/tools/agentic-risk-capability-framework/</w:t>
      </w:r>
    </w:p>
    <w:p>
      <w:pPr>
        <w:spacing w:after="40"/>
      </w:pPr>
      <w:r>
        <w:rPr>
          <w:sz w:val="16"/>
        </w:rPr>
        <w:t>11. Agentic AI Safety: A Structured Review of Open Problems and Their Regulatory Anchoring (2026): https://www.mdpi.com/2673-2688/7/8/298</w:t>
      </w:r>
    </w:p>
    <w:p>
      <w:pPr>
        <w:spacing w:after="40"/>
      </w:pPr>
      <w:r>
        <w:rPr>
          <w:sz w:val="16"/>
        </w:rPr>
        <w:t>12. Gohil et al., Towards safe and trustworthy agentic AI (2026): https://link.springer.com/article/10.1007/s10462-026-11682-8</w:t>
      </w:r>
    </w:p>
    <w:p>
      <w:pPr>
        <w:spacing w:after="40"/>
      </w:pPr>
      <w:r>
        <w:rPr>
          <w:sz w:val="16"/>
        </w:rPr>
        <w:t>13. Hammond et al., Multi-Agent Risks from Advanced AI (2025): https://arxiv.org/abs/2502.14143</w:t>
      </w:r>
    </w:p>
    <w:p>
      <w:pPr>
        <w:spacing w:after="40"/>
      </w:pPr>
      <w:r>
        <w:rPr>
          <w:sz w:val="16"/>
        </w:rPr>
        <w:t>14. Ghosh et al., A Safety and Security Framework for Real-World Agentic Systems (2025): https://arxiv.org/abs/2511.21990</w:t>
      </w:r>
    </w:p>
    <w:p>
      <w:pPr>
        <w:spacing w:after="40"/>
      </w:pPr>
      <w:r>
        <w:rPr>
          <w:sz w:val="16"/>
        </w:rPr>
        <w:t>15. Needham et al., Large Language Models Often Know When They Are Being Evaluated (2025): https://arxiv.org/abs/2505.23836</w:t>
      </w:r>
    </w:p>
    <w:p>
      <w:pPr>
        <w:spacing w:after="40"/>
      </w:pPr>
      <w:r>
        <w:rPr>
          <w:sz w:val="16"/>
        </w:rPr>
        <w:t>16. Shah et al., Goal Misgeneralization (2022): https://arxiv.org/abs/2210.01790</w:t>
      </w:r>
    </w:p>
    <w:p>
      <w:pPr>
        <w:spacing w:after="40"/>
      </w:pPr>
      <w:r>
        <w:rPr>
          <w:sz w:val="16"/>
        </w:rPr>
        <w:t>17. Anthropic, Agentic Misalignment (2025/2026): https://www.anthropic.com/research/agentic-misalignment</w:t>
      </w:r>
    </w:p>
    <w:p>
      <w:pPr>
        <w:spacing w:after="40"/>
      </w:pPr>
      <w:r>
        <w:rPr>
          <w:sz w:val="16"/>
        </w:rPr>
        <w:t>18. Anthropic, Alignment Faking Mitigations (2025): https://alignment.anthropic.com/2025/alignment-faking-mitigations/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Framework Gap Analysis — Process Safety Framework (PSF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CJK SC"/>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