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PSF 30-Case AI-Coder Blind Pilot</w:t>
      </w:r>
    </w:p>
    <w:p>
      <w:pPr>
        <w:jc w:val="center"/>
      </w:pPr>
      <w:r>
        <w:rPr>
          <w:b/>
        </w:rPr>
        <w:t>Final Analysis Report — v1.0</w:t>
      </w:r>
    </w:p>
    <w:p>
      <w:pPr>
        <w:jc w:val="center"/>
      </w:pPr>
      <w:r>
        <w:t>GPT-5.6 Sol × 3 runs and Claude Opus 5 × 3 runs; frozen 30-case blind corpus</w:t>
      </w:r>
    </w:p>
    <w:p>
      <w:pPr>
        <w:pStyle w:val="Heading1"/>
      </w:pPr>
      <w:r>
        <w:t>Executive conclusion</w:t>
      </w:r>
    </w:p>
    <w:p>
      <w:pPr>
        <w:spacing w:after="100"/>
      </w:pPr>
      <w:r>
        <w:t>The technical-recovery phase is complete. All four Claude Opus 5 observations that had truncated at both the 3,000-token and 6,000-token ceilings completed successfully at the pre-specified final 12,000-token ceiling. There is therefore no residual max-token censoring in the pilot. The final selected dataset contains 179 strictly VALID observations and one Opus P01/run2 record that is INVALID only because its cross-cutting list duplicates X; its PRIMARY=A and primary evidence tier=E2 are intact.</w:t>
      </w:r>
    </w:p>
    <w:p>
      <w:pPr>
        <w:spacing w:after="100"/>
      </w:pPr>
      <w:r>
        <w:t>The final analysis supports a reproducible PSF diagnostic spine rather than uniform validation of every category. GPT within-model pooled PRIMARY agreement is 86.7%, Opus is 95.5%, same-run GPT–Opus agreement is 88.8% (Cohen κ=0.862), and case-level model consensus agrees on 28/30 cases (93.3%, κ=0.918). A PRIMARY-only sensitivity analysis that includes the otherwise schema-invalid Opus P01/run2 judgment changes cross-model pooled agreement only from 88.8% to 88.9%, so the strict exclusion is not driving the result.</w:t>
      </w:r>
    </w:p>
    <w:p>
      <w:pPr>
        <w:spacing w:after="100"/>
      </w:pPr>
      <w:r>
        <w:t>The strongest categories are A, D, E, and especially F. C is now positively exercised but retains a recognition-evidence threshold boundary with U. B is never assigned as either PRIMARY or SECONDARY and is therefore untested by this corpus. G is the clearest core-definition problem, centered on whether delayed/persistent outcomes can stand alone as PRIMARY when an upstream core transition is not identified. X is the main auxiliary-code instability.</w:t>
      </w:r>
    </w:p>
    <w:p>
      <w:pPr>
        <w:pStyle w:val="Heading1"/>
      </w:pPr>
      <w:r>
        <w:t>1. Final recovery and data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86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Run</w:t>
            </w:r>
          </w:p>
        </w:tc>
        <w:tc>
          <w:tcPr>
            <w:tcW w:type="dxa" w:w="1008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144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status</w:t>
            </w:r>
          </w:p>
        </w:tc>
        <w:tc>
          <w:tcPr>
            <w:tcW w:type="dxa" w:w="115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</w:t>
            </w:r>
          </w:p>
        </w:tc>
        <w:tc>
          <w:tcPr>
            <w:tcW w:type="dxa" w:w="165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Output tokens</w:t>
            </w:r>
          </w:p>
        </w:tc>
        <w:tc>
          <w:tcPr>
            <w:tcW w:type="dxa" w:w="144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Cost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5,286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$0.2824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5,290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$0.1447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6,040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$0.1634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4,412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$0.1223</w:t>
            </w:r>
          </w:p>
        </w:tc>
      </w:tr>
    </w:tbl>
    <w:p>
      <w:pPr>
        <w:spacing w:after="100"/>
      </w:pPr>
      <w:r>
        <w:t>The final recovery therefore resolves all four residual technical missing observations. P06 now has Opus A/A/A across its three valid runs, and P21 has Opus E/E/E. Recovery should stop permanently at this point; no further output-ceiling changes are warranted.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23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15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VALID</w:t>
            </w:r>
          </w:p>
        </w:tc>
        <w:tc>
          <w:tcPr>
            <w:tcW w:type="dxa" w:w="115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INVALID</w:t>
            </w:r>
          </w:p>
        </w:tc>
        <w:tc>
          <w:tcPr>
            <w:tcW w:type="dxa" w:w="144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INCOMPLETE</w:t>
            </w:r>
          </w:p>
        </w:tc>
        <w:tc>
          <w:tcPr>
            <w:tcW w:type="dxa" w:w="194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Strict completion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GPT-5.6 Sol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Claude Opus 5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98.9%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Combined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99.4% strict VALID</w:t>
            </w:r>
          </w:p>
        </w:tc>
      </w:tr>
    </w:tbl>
    <w:p>
      <w:pPr>
        <w:spacing w:after="100"/>
      </w:pPr>
      <w:r>
        <w:t>The only non-VALID record, Opus P01/run2, is a bounded schema error: X is returned twice with two different evidence spans. The PRIMARY field itself is complete and consistent with Opus runs 1 and 3. Strict full-record analyses exclude it; a separately reported PRIMARY-only sensitivity analysis includes it.</w:t>
      </w:r>
    </w:p>
    <w:p>
      <w:pPr>
        <w:pStyle w:val="Heading1"/>
      </w:pPr>
      <w:r>
        <w:t>2. PRIMARY-code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67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108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 paired</w:t>
            </w:r>
          </w:p>
        </w:tc>
        <w:tc>
          <w:tcPr>
            <w:tcW w:type="dxa" w:w="165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Exact agreement</w:t>
            </w:r>
          </w:p>
        </w:tc>
        <w:tc>
          <w:tcPr>
            <w:tcW w:type="dxa" w:w="1368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Cohen κ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run1 vs run2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.879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run1 vs run3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.837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run2 vs run3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.797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pooled pairwise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.838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run1 vs run2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.914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run1 vs run3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.958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run2 vs run3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96.6%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.957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pooled pairwise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.943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— run1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86.7%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.835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— run2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.874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— run3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.877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GPT–Opus pooled same-run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.862</w:t>
            </w:r>
          </w:p>
        </w:tc>
      </w:tr>
      <w:tr>
        <w:tc>
          <w:tcPr>
            <w:tcW w:type="dxa" w:w="36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Case-level model consensus</w:t>
            </w:r>
          </w:p>
        </w:tc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.918</w:t>
            </w:r>
          </w:p>
        </w:tc>
      </w:tr>
    </w:tbl>
    <w:p>
      <w:pPr>
        <w:spacing w:after="100"/>
      </w:pPr>
      <w:r>
        <w:t>Krippendorff nominal α is 0.839 for GPT, 0.944 for Opus, and 0.874 for the descriptive six-run matrix. The pooled run-pair rows are descriptive because repeated pairs share the same underlying cases; the model runs are stability probes, not independent human raters.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85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F_Final_Agreement_v1.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5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For the strict pooled cross-model result, the Wilson 95% interval for exact agreement is approximately 80.5%–93.8%. For case-level consensus, the corresponding interval is approximately 78.7%–98.2%. These intervals reflect only the finite set of paired case judgments, not broader population sampling uncertainty from the purposively constructed corpus.</w:t>
      </w:r>
    </w:p>
    <w:p>
      <w:pPr>
        <w:pStyle w:val="Heading1"/>
      </w:pPr>
      <w:r>
        <w:t>3. PRIMARY-only sensitivity for the Opus P01 schema-invalid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230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Strict full-record</w:t>
            </w:r>
          </w:p>
        </w:tc>
        <w:tc>
          <w:tcPr>
            <w:tcW w:type="dxa" w:w="259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PRIMARY-only sensitivity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pooled within agreement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95.6%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pooled within κ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.943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.944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GPT–Opus pooled agreement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88.9%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GPT–Opus pooled κ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.862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.863</w:t>
            </w:r>
          </w:p>
        </w:tc>
      </w:tr>
    </w:tbl>
    <w:p>
      <w:pPr>
        <w:spacing w:after="100"/>
      </w:pPr>
      <w:r>
        <w:t>The sensitivity differences are negligible. This supports retaining P01/run2 as INVALID for strict full-record and X/Y analyses while allowing its PRIMARY=A/E2 judgment to be described in a bounded sensitivity analysis. No rerun is needed.</w:t>
      </w:r>
    </w:p>
    <w:p>
      <w:pPr>
        <w:pStyle w:val="Heading1"/>
      </w:pPr>
      <w:r>
        <w:t>4. Cross-model disagreement structure</w:t>
      </w:r>
    </w:p>
    <w:p>
      <w:pPr>
        <w:spacing w:after="100"/>
      </w:pPr>
      <w:r>
        <w:t>Across the 89 strict VALID same-run GPT–Opus pairs, 79 PRIMARY judgments agree and 10 disagree. The disagreements remain concentrated in a small number of adjacent or underspecified boundaries rather than being diffusely distributed across the ontology.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72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Run</w:t>
            </w:r>
          </w:p>
        </w:tc>
        <w:tc>
          <w:tcPr>
            <w:tcW w:type="dxa" w:w="93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79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GPT</w:t>
            </w:r>
          </w:p>
        </w:tc>
        <w:tc>
          <w:tcPr>
            <w:tcW w:type="dxa" w:w="79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Opus</w:t>
            </w:r>
          </w:p>
        </w:tc>
        <w:tc>
          <w:tcPr>
            <w:tcW w:type="dxa" w:w="727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Boundary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P05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awareness / metagaming evidence versus the stricter requirement for a safety-relevant oversight-dependent behavior difference.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refusal under a different prompt condition supplies enough demonstrated recognition evidence for the focal harmful trajectory.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persistent/delayed effects can support G without an identified upstream core transition.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P23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Runtime update and stop/replan versus recognized-but-not-enacted updated constraint.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observed shortcut behavior strongly identifies an operative objective/authorization representation mismatch.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C-versus-U recognition-evidence threshold boundary.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P20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poisoned tool metadata directly establishes operative-objective divergence.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cumulative multi-step outcome is sufficient for G without locating an upstream failure transition.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P15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Operative-objective divergence versus explicit recognized constraint followed by inconsistent intervention.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72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G-versus-U standalone Outcome &amp; Feedback boundary.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11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F_Final_Primary_Confusion_v1.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Case-level consensus and the two stable disagreements</w:t>
      </w:r>
    </w:p>
    <w:p>
      <w:pPr>
        <w:spacing w:after="100"/>
      </w:pPr>
      <w:r>
        <w:t>Both models now have enough valid runs to form a unique case-level PRIMARY consensus for all 30 cases. Twenty-eight cases agree. The two stable cross-model consensus disagreements are P12 and P16.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187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GPT consensus</w:t>
            </w:r>
          </w:p>
        </w:tc>
        <w:tc>
          <w:tcPr>
            <w:tcW w:type="dxa" w:w="187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Opus consensus</w:t>
            </w:r>
          </w:p>
        </w:tc>
        <w:tc>
          <w:tcPr>
            <w:tcW w:type="dxa" w:w="633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 (2/3)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 (3/3)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genuine minimum-evidence disagreement about whether demonstrated recognition is established for the focal trajectory.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 (3/3)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 (2/3)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genuine construct-definition disagreement about standalone Outcome &amp; Feedback; Opus run2 assigns G, but U remains its modal judgment.</w:t>
            </w:r>
          </w:p>
        </w:tc>
      </w:tr>
    </w:tbl>
    <w:p>
      <w:pPr>
        <w:spacing w:after="100"/>
      </w:pPr>
      <w:r>
        <w:t>These are valuable falsification/revision targets. They indicate that the remaining problem is not arbitrary coder instability but specific PSF boundary conditions that can be revised prospectively in v0.3.</w:t>
      </w:r>
    </w:p>
    <w:p>
      <w:pPr>
        <w:pStyle w:val="Heading1"/>
      </w:pPr>
      <w:r>
        <w:t>6. Per-code diagnostic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Core</w:t>
            </w:r>
          </w:p>
        </w:tc>
        <w:tc>
          <w:tcPr>
            <w:tcW w:type="dxa" w:w="165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Cross-model Dice/F1</w:t>
            </w:r>
          </w:p>
        </w:tc>
        <w:tc>
          <w:tcPr>
            <w:tcW w:type="dxa" w:w="8208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interpretation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.927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Strong. Residual disagreement occurs when an operative objective is inferred from shortcut/adversarial behavior rather than directly represented.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observed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PRIMARY or SECONDARY B assignments. Situated Recognition is a corpus-coverage gap and cannot be claimed as empirically validated.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.667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Positively exercised by cases including P15 and P23, but sensitive to the minimum evidence for demonstrated recognition.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.941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Strong. P05 clarifies that evaluation awareness alone does not automatically establish oversight invariance failure.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.960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Strong. The remaining adjacent ambiguity is mainly C versus E in runtime update / stop-replan cases.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Perfect paired agreement; the cleanest category in the pilot.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.400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Weakest core boundary. GPT uses standalone G more readily; Opus usually prefers U when the upstream failure location is unspecified.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1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.833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Functions as a conservative fallback and is used more frequently by Opus.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85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F_Final_Per_Code_Agreement_v1.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Stratum-level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53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Stratum</w:t>
            </w:r>
          </w:p>
        </w:tc>
        <w:tc>
          <w:tcPr>
            <w:tcW w:type="dxa" w:w="180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Paired agreement</w:t>
            </w:r>
          </w:p>
        </w:tc>
        <w:tc>
          <w:tcPr>
            <w:tcW w:type="dxa" w:w="432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Objective / Generalization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13/14 = 92.9%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High; one A-versus-U disagreement.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Harmful Tool-use / Agentic Misalignment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12/15 = 80.0%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P12 and P15 expose recognition / enactment / specification boundaries.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Awareness / Strategic Compliance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14/15 = 93.3%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High; P05 is the principal D-versus-U boundary case.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Prompt Injection / Tool Security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11/15 = 73.3%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Lowest agreement; G-versus-U and A-versus-U ambiguity is concentrated here.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Restraint / Abstention / Corrigibility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14/15 = 93.3%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High; one C-versus-E runtime-update disagreement.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Multi-agent / Systemic Effects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15/15 = 100%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Perfect agreement across all paired observations.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3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F_Final_Stratum_Agreement_v1.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>The stratum results are descriptive because the five cases per stratum were purposively selected and the 15 run-level pairs within a stratum are not independent samples. Nevertheless, the concentration of disagreement in Prompt Injection / Tool Security is diagnostically useful: these cases often establish that an attack occurred without establishing which core A/B/C/G transition failed.</w:t>
      </w:r>
    </w:p>
    <w:p>
      <w:pPr>
        <w:pStyle w:val="Heading1"/>
      </w:pPr>
      <w:r>
        <w:t>8. Evidence tiers and evidence spans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24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93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216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Exact tier agreement</w:t>
            </w:r>
          </w:p>
        </w:tc>
        <w:tc>
          <w:tcPr>
            <w:tcW w:type="dxa" w:w="237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 |ordinal distance|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run1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0.333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run2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0.379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GPT vs Opus run3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0.333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Conditional on same PRIMARY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86.1%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0.139</w:t>
            </w:r>
          </w:p>
        </w:tc>
      </w:tr>
    </w:tbl>
    <w:p>
      <w:pPr>
        <w:spacing w:after="100"/>
      </w:pPr>
      <w:r>
        <w:t>All 11 same-PRIMARY evidence-tier disagreements are adjacent E2-versus-E3 judgments. No large E0-versus-E3 jump occurs after holding PRIMARY constant. Evidence tiers are therefore less stable than PRIMARY but remain interpretable as an ordinal evidence-strength layer.</w:t>
      </w:r>
    </w:p>
    <w:p>
      <w:pPr>
        <w:spacing w:after="100"/>
      </w:pPr>
      <w:r>
        <w:t>Evidence-span wording is substantially less identical: among the 79 same-PRIMARY pairs, exact normalized span identity is 15.2%, mean token Jaccard overlap is 0.493 (median 0.424), and 45.6% show at least 80% token containment. This is not a failure of diagnostic reliability because multiple packet passages may support the same diagnosis; evidence-span overlap is best retained as a traceability/audit measure.</w:t>
      </w:r>
    </w:p>
    <w:p>
      <w:pPr>
        <w:pStyle w:val="Heading1"/>
      </w:pPr>
      <w:r>
        <w:t>9. SECONDARY, X/Y, and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187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Final result</w:t>
            </w:r>
          </w:p>
        </w:tc>
        <w:tc>
          <w:tcPr>
            <w:tcW w:type="dxa" w:w="6120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SECONDARY exact-set agreement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87.6%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but secondary use is sparse; should remain a secondary endpoint.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X/Y exact-set agreement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 than PRIMARY; cross-cutting coding is the main auxiliary instability.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X presence consensus agreement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83.3%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Opus positive on 53.3% of cases versus GPT 36.7%; v0.3 should sharpen the minimum-evidence rule.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 presence consensus agreement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93.3%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Comparatively stable; only P22 and P30 differ at consensus level.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Confidence exact agreement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53.9%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Model-native confidence is not a valid cross-model reliability outcome.</w:t>
            </w:r>
          </w:p>
        </w:tc>
      </w:tr>
    </w:tbl>
    <w:p>
      <w:pPr>
        <w:spacing w:after="100"/>
      </w:pPr>
      <w:r>
        <w:t>GPT assigns High confidence to 72/90 valid outputs (80.0%), whereas Opus assigns High to 31/89 (34.8%). Every paired observation in which Opus reports High confidence agrees with GPT on PRIMARY (31/31), while Opus Medium-confidence pairs agree in 48/58 cases (82.8%). This is agreement calibration, not accuracy calibration, because there is no independent gold label.</w:t>
      </w:r>
    </w:p>
    <w:p>
      <w:pPr>
        <w:pStyle w:val="Heading1"/>
      </w:pPr>
      <w:r>
        <w:t>10. Diagnosis-to-mitigation differentiation</w:t>
      </w:r>
    </w:p>
    <w:p>
      <w:pPr>
        <w:spacing w:after="100"/>
      </w:pPr>
      <w:r>
        <w:t>The exploratory actionability result remains strong after final recovery. Using one case-level consensus unit formed from mitigation text in runs that match the model's consensus PRIMARY, GPT within-diagnosis mean TF-IDF cosine similarity is 0.192 versus 0.025 across different diagnoses; Opus is 0.190 versus 0.028. Fixed-label permutation tests give p&lt;0.001 for both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PRIMARY</w:t>
            </w:r>
          </w:p>
        </w:tc>
        <w:tc>
          <w:tcPr>
            <w:tcW w:type="dxa" w:w="8496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Recurring mitigation language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objective/reward specification, goal robustness, evaluation and training boundaries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action-time constraint checking, state updates, policy gates and enactment checks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evaluation realism, rotating/hidden evaluations, deployment monitoring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stop/defer, staged authorization, interruption compliance, reversible defaults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mechanism design, welfare/externality-aware objectives, multi-agent monitoring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persistent-memory provenance, validation, rollback and delayed-outcome monitoring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</w:t>
            </w:r>
          </w:p>
        </w:tc>
        <w:tc>
          <w:tcPr>
            <w:tcW w:type="dxa" w:w="84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instruction hierarchy, provenance/tool controls, or further evidence collection rather than a core-specific fix</w:t>
            </w:r>
          </w:p>
        </w:tc>
      </w:tr>
    </w:tbl>
    <w:p>
      <w:pPr>
        <w:spacing w:after="100"/>
      </w:pPr>
      <w:r>
        <w:t>This supports diagnostic actionability but is not an independent causal validation: diagnosis and mitigation are generated in the same response. A confirmatory study should test whether PSF diagnoses improve blinded intervention selection relative to an external baseline taxonomy.</w:t>
      </w:r>
    </w:p>
    <w:p>
      <w:pPr>
        <w:pStyle w:val="Heading1"/>
      </w:pPr>
      <w:r>
        <w:t>11. Cost and reproducibility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58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GPT</w:t>
            </w:r>
          </w:p>
        </w:tc>
        <w:tc>
          <w:tcPr>
            <w:tcW w:type="dxa" w:w="158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Opus</w:t>
            </w:r>
          </w:p>
        </w:tc>
        <w:tc>
          <w:tcPr>
            <w:tcW w:type="dxa" w:w="1584"/>
            <w:vAlign w:val="top"/>
            <w:shd w:fill="E7E7E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Combined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Original experiment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$3.196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$5.925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$9.121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6k recovery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$0.684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$1.930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$2.613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12k recovery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$0.713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$0.713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recorded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$3.880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$8.568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$12.447</w:t>
            </w:r>
          </w:p>
        </w:tc>
      </w:tr>
    </w:tbl>
    <w:p>
      <w:pPr>
        <w:spacing w:after="100"/>
      </w:pPr>
      <w:r>
        <w:t>All original, 6k-recovery, and 12k-final-recovery files are preserved separately. Final analysis selects the earliest technically usable result according to the pre-specified recovery rule. The one failed GPT P05 HTTP 429 event in the first recovery is not a model judgment and is not included in analysis; a later successful recovery supplies that observation.</w:t>
      </w:r>
    </w:p>
    <w:p>
      <w:pPr>
        <w:pStyle w:val="Heading1"/>
      </w:pPr>
      <w:r>
        <w:t>12. Paper-ready claims and explicit limitations</w:t>
      </w:r>
    </w:p>
    <w:p>
      <w:pPr>
        <w:spacing w:after="100"/>
      </w:pPr>
      <w:r>
        <w:t>The pilot is now methodologically mature enough to freeze for an arXiv v1 framed as framework + operationalization + blind pilot evaluation. The central empirical claim should be limited to initial reproducibility and diagnostic/actionability evidence.</w:t>
      </w:r>
    </w:p>
    <w:p>
      <w:pPr>
        <w:pStyle w:val="ListBullet"/>
        <w:spacing w:after="40"/>
      </w:pPr>
      <w:r>
        <w:t>Supported: several PSF process distinctions are reproducibly identifiable across two independently instantiated frontier-model coder systems.</w:t>
      </w:r>
    </w:p>
    <w:p>
      <w:pPr>
        <w:pStyle w:val="ListBullet"/>
        <w:spacing w:after="40"/>
      </w:pPr>
      <w:r>
        <w:t>Supported: A, D, E, and F show strong cross-model reproducibility; F is perfect in the present paired sample.</w:t>
      </w:r>
    </w:p>
    <w:p>
      <w:pPr>
        <w:pStyle w:val="ListBullet"/>
        <w:spacing w:after="40"/>
      </w:pPr>
      <w:r>
        <w:t>Partial support: C is positively exercised but remains sensitive to what counts as demonstrated recognition in the focal trajectory.</w:t>
      </w:r>
    </w:p>
    <w:p>
      <w:pPr>
        <w:pStyle w:val="ListBullet"/>
        <w:spacing w:after="40"/>
      </w:pPr>
      <w:r>
        <w:t>Untested: B is never assigned and requires deliberately sampled positive recognition-failure cases.</w:t>
      </w:r>
    </w:p>
    <w:p>
      <w:pPr>
        <w:pStyle w:val="ListBullet"/>
        <w:spacing w:after="40"/>
      </w:pPr>
      <w:r>
        <w:t>Revision target: G needs a prospective v0.3 rule for whether Outcome &amp; Feedback may stand alone as PRIMARY.</w:t>
      </w:r>
    </w:p>
    <w:p>
      <w:pPr>
        <w:pStyle w:val="ListBullet"/>
        <w:spacing w:after="40"/>
      </w:pPr>
      <w:r>
        <w:t>Revision target: X needs a stricter distinction between a concrete failed/bypassed control and an inferred inadequate control boundary.</w:t>
      </w:r>
    </w:p>
    <w:p>
      <w:pPr>
        <w:pStyle w:val="ListBullet"/>
        <w:spacing w:after="40"/>
      </w:pPr>
      <w:r>
        <w:t>Limitation: LLM–LLM agreement is not human expert validity, and the 30-case purposive corpus does not estimate real-world risk prevalence.</w:t>
      </w:r>
    </w:p>
    <w:p>
      <w:pPr>
        <w:pStyle w:val="ListBullet"/>
        <w:spacing w:after="40"/>
      </w:pPr>
      <w:r>
        <w:t>Limitation: mitigation differentiation is descriptive and code-conditioned, not causal evidence that PSF improves intervention choice.</w:t>
      </w:r>
    </w:p>
    <w:p>
      <w:pPr>
        <w:pStyle w:val="Heading1"/>
      </w:pPr>
      <w:r>
        <w:t>13. Recommended manuscript framing</w:t>
      </w:r>
    </w:p>
    <w:p>
      <w:pPr>
        <w:spacing w:after="100"/>
      </w:pPr>
      <w:r>
        <w:t>A defensible summary sentence is: “PSF v0.2 exhibits a reproducible diagnostic spine across two frontier-model coder systems, with disagreement concentrated in identifiable construct boundaries rather than distributed across the ontology. The pilot provides initial evidence of operationalizability and diagnosis-specific mitigation differentiation, while revealing under-sampled Situated Recognition and unresolved Outcome &amp; Feedback and External Control criteria.”</w:t>
      </w:r>
    </w:p>
    <w:p>
      <w:pPr>
        <w:spacing w:after="100"/>
      </w:pPr>
      <w:r>
        <w:t>Do not revise PSF v0.2 after seeing these results. The pilot should remain a frozen evaluation of v0.2. Any clarification of B, G, or X should be labeled PSF v0.3 and evaluated prospectively in a larger confirmatory corpus with human expert coders and an external taxonomy baseline.</w:t>
      </w:r>
    </w:p>
    <w:p>
      <w:pPr>
        <w:pStyle w:val="Heading1"/>
      </w:pPr>
      <w:r>
        <w:t>Appendix A. Statistical interpretation</w:t>
      </w:r>
    </w:p>
    <w:p>
      <w:pPr>
        <w:pStyle w:val="ListBullet"/>
        <w:spacing w:after="40"/>
      </w:pPr>
      <w:r>
        <w:t>Exact agreement is calculated only on technically usable paired observations under the strict analysis.</w:t>
      </w:r>
    </w:p>
    <w:p>
      <w:pPr>
        <w:pStyle w:val="ListBullet"/>
        <w:spacing w:after="40"/>
      </w:pPr>
      <w:r>
        <w:t>Cohen κ is reported for nominal pairwise agreement. Pooled run-pair κ is descriptive because pairs share underlying cases.</w:t>
      </w:r>
    </w:p>
    <w:p>
      <w:pPr>
        <w:pStyle w:val="ListBullet"/>
        <w:spacing w:after="40"/>
      </w:pPr>
      <w:r>
        <w:t>Krippendorff α is nominal and allows missing/invalid records; the six-run value is descriptive because repeated runs from the same model are not independent raters.</w:t>
      </w:r>
    </w:p>
    <w:p>
      <w:pPr>
        <w:pStyle w:val="ListBullet"/>
        <w:spacing w:after="40"/>
      </w:pPr>
      <w:r>
        <w:t>Case-level consensus is the unique modal PRIMARY among at least two valid runs for each model.</w:t>
      </w:r>
    </w:p>
    <w:p>
      <w:pPr>
        <w:pStyle w:val="ListBullet"/>
        <w:spacing w:after="40"/>
      </w:pPr>
      <w:r>
        <w:t>Per-code Dice/F1 is calculated from paired same-run PRIMARY assignments and should be interpreted with caution for rare categories.</w:t>
      </w:r>
    </w:p>
    <w:p>
      <w:pPr>
        <w:pStyle w:val="ListBullet"/>
        <w:spacing w:after="40"/>
      </w:pPr>
      <w:r>
        <w:t>Stratum-specific results are descriptive; cases were purposively stratified and are not a probability sample.</w:t>
      </w:r>
    </w:p>
    <w:sectPr w:rsidR="00FC693F" w:rsidRPr="0006063C" w:rsidSect="00034616">
      <w:footerReference w:type="default" r:id="rId13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PSF 30-Case AI-Coder Blind Pilot — Final Analysis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