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Chinese Philosophy as a Foundation for AI Safety and AI for Cybersecurity</w:t>
      </w:r>
    </w:p>
    <w:p>
      <w:pPr>
        <w:jc w:val="center"/>
      </w:pPr>
      <w:r>
        <w:rPr>
          <w:b/>
        </w:rPr>
        <w:t>Systematic Literature Review / Evidence Map — Version 1</w:t>
      </w:r>
    </w:p>
    <w:p>
      <w:r>
        <w:t>Executive finding. The literature already establishes a recognizable “Chinese philosophy × AI ethics/governance” stream, especially around Confucian relational ethics/trustworthiness and Daoist critiques of control. However, direct translation of classical Chinese concepts into technical AI-safety constructs, benchmarks, agent architectures, or cybersecurity mechanisms remains sparse. The strongest novelty opportunity is therefore not to argue that Chinese philosophy is relevant to AI, but to operationalize specific concepts as measurable safety properties.</w:t>
      </w:r>
    </w:p>
    <w:p>
      <w:r>
        <w:t>Most important update. The proposed 知行合一 (unity of knowledge and action) direction is highly promising, but the broad phrase “knowledge–action/behavior gap” is no longer unclaimed. A 2026 ACL paper, CulShield, explicitly reports a “knowledge–behavior gap” in cultural-taboo safety, and a 2026 SSRN manuscript explicitly frames a “Knowledge-Action Gap” in LLMs. This narrows—but does not remove—the novelty. The defensible contribution is a general agentic-safety construct that pairs controlled elicitation of demonstrated safety knowledge with situated tool-using behavior, studies causal moderators, and tests interventions.</w:t>
      </w:r>
    </w:p>
    <w:p>
      <w:r>
        <w:t>Scope note. This is a protocol-ready SLR/evidence map based on web-accessible scholarly sources and targeted snowballing through 10 September 2026. It follows PRISMA-style transparency in question formulation, eligibility, coding, and synthesis, but it should not yet be represented as a registration-grade exhaustive SLR because subscription databases (e.g., Scopus/Web of Science) and CNKI were not exhaustively exported and deduplicated. The recommended next step is to run the supplied search strings in those databases and freeze the corpus before publication.</w:t>
      </w:r>
    </w:p>
    <w:p>
      <w:pPr>
        <w:pStyle w:val="Heading1"/>
      </w:pPr>
      <w:r>
        <w:t>1. Review questions</w:t>
      </w:r>
    </w:p>
    <w:p>
      <w:pPr>
        <w:pStyle w:val="ListBullet"/>
      </w:pPr>
      <w:r>
        <w:t>RQ1 — What peer-reviewed or scholarly work explicitly connects Chinese philosophical traditions to AI ethics, governance, alignment, safety, or cybersecurity?</w:t>
      </w:r>
    </w:p>
    <w:p>
      <w:pPr>
        <w:pStyle w:val="ListBullet"/>
      </w:pPr>
      <w:r>
        <w:t>RQ2 — Which traditions and concepts are already saturated, adjacent, or comparatively underexplored?</w:t>
      </w:r>
    </w:p>
    <w:p>
      <w:pPr>
        <w:pStyle w:val="ListBullet"/>
      </w:pPr>
      <w:r>
        <w:t>RQ3 — Which modern AI-safety literatures independently instantiate analogous constructs (e.g., knowledge–behavior gaps, evaluation awareness, agentic misalignment, tool-use safety)?</w:t>
      </w:r>
    </w:p>
    <w:p>
      <w:pPr>
        <w:pStyle w:val="ListBullet"/>
      </w:pPr>
      <w:r>
        <w:t>RQ4 — Where can Chinese philosophical concepts generate operational definitions, metrics, benchmarks, architectures, or interventions rather than metaphorical analogies?</w:t>
      </w:r>
    </w:p>
    <w:p>
      <w:pPr>
        <w:pStyle w:val="ListBullet"/>
      </w:pPr>
      <w:r>
        <w:t>RQ5 — Specifically for 知行合一, what novelty remains after accounting for the 2026 knowledge–behavior/action-gap literature?</w:t>
      </w:r>
    </w:p>
    <w:p>
      <w:pPr>
        <w:pStyle w:val="Heading1"/>
      </w:pPr>
      <w:r>
        <w:t>2. Method</w:t>
      </w:r>
    </w:p>
    <w:p>
      <w:r>
        <w:t>Reporting framework. PRISMA 2020 was used as the reporting template for transparency. PRISMA is a reporting guideline for systematic reviews and provides a 27-item checklist and flow-diagram templates [1].</w:t>
      </w:r>
    </w:p>
    <w:p>
      <w:r>
        <w:t>Search date: 10 September 2026. Search families combined Chinese-philosophy terms (Confucian*, Daois*/Taois*, Mohis*, Legalism, Wang Yangming, 知行合一, 慎独, 知止, 正名, 兼爱, 无为, Sun Tzu, Wu Xing) with AI terms (artificial intelligence, LLM, agent, alignment, safety, trustworthy AI, governance, cybersecurity, adversarial, tool use). A second, deliberately philosophy-independent search family covered knowledge–action/behavior gaps, safety risk awareness, evaluation awareness, alignment faking, agentic misalignment, harmful agent benchmarks, and prompt-injection/tool-use safety.</w:t>
      </w:r>
    </w:p>
    <w:p>
      <w:r>
        <w:t>Eligibility. Included: scholarly books/chapters, peer-reviewed journal/conference papers, major research-lab technical reports with reproducible experiments, and a small number of clearly labeled preprints/manuscripts when directly relevant to novelty. Excluded: purely popular commentary, generic “Eastern wisdom” pieces without a defined philosophical construct, and superficial analogy papers without implications for AI ethics/safety/security. Classical-text sources were used for conceptual validation rather than counted as AI studies.</w:t>
      </w:r>
    </w:p>
    <w:p>
      <w:r>
        <w:t>Synthesis. Each source was coded along five dimensions: philosophical tradition/concept; AI domain; contribution type (normative, governance, conceptual, technical, empirical); operationalization depth; and proximity to the proposed research agenda. Because the accessible corpus is heterogeneous, no statistical meta-analysis is appropriate.</w:t>
      </w:r>
    </w:p>
    <w:p>
      <w:pPr>
        <w:pStyle w:val="Heading1"/>
      </w:pPr>
      <w:r>
        <w:t>3. Evidence landscape: Chinese philosophy × AI</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7E7E7"/>
          </w:tcPr>
          <w:p>
            <w:r>
              <w:rPr>
                <w:b/>
              </w:rPr>
              <w:t>Tradition</w:t>
            </w:r>
          </w:p>
        </w:tc>
        <w:tc>
          <w:tcPr>
            <w:tcW w:type="dxa" w:w="2448"/>
            <w:shd w:fill="E7E7E7"/>
          </w:tcPr>
          <w:p>
            <w:r>
              <w:rPr>
                <w:b/>
              </w:rPr>
              <w:t>Observed AI themes</w:t>
            </w:r>
          </w:p>
        </w:tc>
        <w:tc>
          <w:tcPr>
            <w:tcW w:type="dxa" w:w="2448"/>
            <w:shd w:fill="E7E7E7"/>
          </w:tcPr>
          <w:p>
            <w:r>
              <w:rPr>
                <w:b/>
              </w:rPr>
              <w:t>Literature density</w:t>
            </w:r>
          </w:p>
        </w:tc>
        <w:tc>
          <w:tcPr>
            <w:tcW w:type="dxa" w:w="2448"/>
            <w:shd w:fill="E7E7E7"/>
          </w:tcPr>
          <w:p>
            <w:r>
              <w:rPr>
                <w:b/>
              </w:rPr>
              <w:t>Assessment</w:t>
            </w:r>
          </w:p>
        </w:tc>
      </w:tr>
      <w:tr>
        <w:tc>
          <w:tcPr>
            <w:tcW w:type="dxa" w:w="2448"/>
            <w:vAlign w:val="top"/>
          </w:tcPr>
          <w:p>
            <w:r>
              <w:t>Confucianism</w:t>
            </w:r>
          </w:p>
        </w:tc>
        <w:tc>
          <w:tcPr>
            <w:tcW w:type="dxa" w:w="2448"/>
            <w:vAlign w:val="top"/>
          </w:tcPr>
          <w:p>
            <w:r>
              <w:t>Trust, relational ethics, virtue, privacy, human–AI relations</w:t>
            </w:r>
          </w:p>
        </w:tc>
        <w:tc>
          <w:tcPr>
            <w:tcW w:type="dxa" w:w="2448"/>
            <w:vAlign w:val="top"/>
          </w:tcPr>
          <w:p>
            <w:r>
              <w:t>Moderate–high</w:t>
            </w:r>
          </w:p>
        </w:tc>
        <w:tc>
          <w:tcPr>
            <w:tcW w:type="dxa" w:w="2448"/>
            <w:vAlign w:val="top"/>
          </w:tcPr>
          <w:p>
            <w:r>
              <w:t>Mostly ethics/governance; limited technical safety</w:t>
            </w:r>
          </w:p>
        </w:tc>
      </w:tr>
      <w:tr>
        <w:tc>
          <w:tcPr>
            <w:tcW w:type="dxa" w:w="2448"/>
            <w:vAlign w:val="top"/>
          </w:tcPr>
          <w:p>
            <w:r>
              <w:t>Daoism</w:t>
            </w:r>
          </w:p>
        </w:tc>
        <w:tc>
          <w:tcPr>
            <w:tcW w:type="dxa" w:w="2448"/>
            <w:vAlign w:val="top"/>
          </w:tcPr>
          <w:p>
            <w:r>
              <w:t>Wu wei, ziran, harmony, restraint, critique of prediction/control</w:t>
            </w:r>
          </w:p>
        </w:tc>
        <w:tc>
          <w:tcPr>
            <w:tcW w:type="dxa" w:w="2448"/>
            <w:vAlign w:val="top"/>
          </w:tcPr>
          <w:p>
            <w:r>
              <w:t>Moderate</w:t>
            </w:r>
          </w:p>
        </w:tc>
        <w:tc>
          <w:tcPr>
            <w:tcW w:type="dxa" w:w="2448"/>
            <w:vAlign w:val="top"/>
          </w:tcPr>
          <w:p>
            <w:r>
              <w:t>Primarily conceptual/normative</w:t>
            </w:r>
          </w:p>
        </w:tc>
      </w:tr>
      <w:tr>
        <w:tc>
          <w:tcPr>
            <w:tcW w:type="dxa" w:w="2448"/>
            <w:vAlign w:val="top"/>
          </w:tcPr>
          <w:p>
            <w:r>
              <w:t>Mohism</w:t>
            </w:r>
          </w:p>
        </w:tc>
        <w:tc>
          <w:tcPr>
            <w:tcW w:type="dxa" w:w="2448"/>
            <w:vAlign w:val="top"/>
          </w:tcPr>
          <w:p>
            <w:r>
              <w:t>Impartial/inclusive care, anti-aggression, benefit</w:t>
            </w:r>
          </w:p>
        </w:tc>
        <w:tc>
          <w:tcPr>
            <w:tcW w:type="dxa" w:w="2448"/>
            <w:vAlign w:val="top"/>
          </w:tcPr>
          <w:p>
            <w:r>
              <w:t>Low</w:t>
            </w:r>
          </w:p>
        </w:tc>
        <w:tc>
          <w:tcPr>
            <w:tcW w:type="dxa" w:w="2448"/>
            <w:vAlign w:val="top"/>
          </w:tcPr>
          <w:p>
            <w:r>
              <w:t>Large gap for multi-agent safety and cyber restraint</w:t>
            </w:r>
          </w:p>
        </w:tc>
      </w:tr>
      <w:tr>
        <w:tc>
          <w:tcPr>
            <w:tcW w:type="dxa" w:w="2448"/>
            <w:vAlign w:val="top"/>
          </w:tcPr>
          <w:p>
            <w:r>
              <w:t>Legalist thought</w:t>
            </w:r>
          </w:p>
        </w:tc>
        <w:tc>
          <w:tcPr>
            <w:tcW w:type="dxa" w:w="2448"/>
            <w:vAlign w:val="top"/>
          </w:tcPr>
          <w:p>
            <w:r>
              <w:t>Law/technique/power, monitoring, governance</w:t>
            </w:r>
          </w:p>
        </w:tc>
        <w:tc>
          <w:tcPr>
            <w:tcW w:type="dxa" w:w="2448"/>
            <w:vAlign w:val="top"/>
          </w:tcPr>
          <w:p>
            <w:r>
              <w:t>Low</w:t>
            </w:r>
          </w:p>
        </w:tc>
        <w:tc>
          <w:tcPr>
            <w:tcW w:type="dxa" w:w="2448"/>
            <w:vAlign w:val="top"/>
          </w:tcPr>
          <w:p>
            <w:r>
              <w:t>Mostly governance analogy; technical control remains open</w:t>
            </w:r>
          </w:p>
        </w:tc>
      </w:tr>
      <w:tr>
        <w:tc>
          <w:tcPr>
            <w:tcW w:type="dxa" w:w="2448"/>
            <w:vAlign w:val="top"/>
          </w:tcPr>
          <w:p>
            <w:r>
              <w:t>Military thought / Sunzi</w:t>
            </w:r>
          </w:p>
        </w:tc>
        <w:tc>
          <w:tcPr>
            <w:tcW w:type="dxa" w:w="2448"/>
            <w:vAlign w:val="top"/>
          </w:tcPr>
          <w:p>
            <w:r>
              <w:t>Strategy, deception, adaptation, information asymmetry</w:t>
            </w:r>
          </w:p>
        </w:tc>
        <w:tc>
          <w:tcPr>
            <w:tcW w:type="dxa" w:w="2448"/>
            <w:vAlign w:val="top"/>
          </w:tcPr>
          <w:p>
            <w:r>
              <w:t>Moderate in cybersecurity</w:t>
            </w:r>
          </w:p>
        </w:tc>
        <w:tc>
          <w:tcPr>
            <w:tcW w:type="dxa" w:w="2448"/>
            <w:vAlign w:val="top"/>
          </w:tcPr>
          <w:p>
            <w:r>
              <w:t>AI-agent-specific defensive operationalization still open</w:t>
            </w:r>
          </w:p>
        </w:tc>
      </w:tr>
      <w:tr>
        <w:tc>
          <w:tcPr>
            <w:tcW w:type="dxa" w:w="2448"/>
            <w:vAlign w:val="top"/>
          </w:tcPr>
          <w:p>
            <w:r>
              <w:t>Wu Xing / systems thought</w:t>
            </w:r>
          </w:p>
        </w:tc>
        <w:tc>
          <w:tcPr>
            <w:tcW w:type="dxa" w:w="2448"/>
            <w:vAlign w:val="top"/>
          </w:tcPr>
          <w:p>
            <w:r>
              <w:t>Dynamic generation/restraint, equilibrium</w:t>
            </w:r>
          </w:p>
        </w:tc>
        <w:tc>
          <w:tcPr>
            <w:tcW w:type="dxa" w:w="2448"/>
            <w:vAlign w:val="top"/>
          </w:tcPr>
          <w:p>
            <w:r>
              <w:t>Emerging</w:t>
            </w:r>
          </w:p>
        </w:tc>
        <w:tc>
          <w:tcPr>
            <w:tcW w:type="dxa" w:w="2448"/>
            <w:vAlign w:val="top"/>
          </w:tcPr>
          <w:p>
            <w:r>
              <w:t>At least one 2026 AI-safety architecture manuscript</w:t>
            </w:r>
          </w:p>
        </w:tc>
      </w:tr>
      <w:tr>
        <w:tc>
          <w:tcPr>
            <w:tcW w:type="dxa" w:w="2448"/>
            <w:vAlign w:val="top"/>
          </w:tcPr>
          <w:p>
            <w:r>
              <w:t>Wang Yangming / 知行合一</w:t>
            </w:r>
          </w:p>
        </w:tc>
        <w:tc>
          <w:tcPr>
            <w:tcW w:type="dxa" w:w="2448"/>
            <w:vAlign w:val="top"/>
          </w:tcPr>
          <w:p>
            <w:r>
              <w:t>Knowledge/action unity, moral cultivation</w:t>
            </w:r>
          </w:p>
        </w:tc>
        <w:tc>
          <w:tcPr>
            <w:tcW w:type="dxa" w:w="2448"/>
            <w:vAlign w:val="top"/>
          </w:tcPr>
          <w:p>
            <w:r>
              <w:t>Very low direct AI literature</w:t>
            </w:r>
          </w:p>
        </w:tc>
        <w:tc>
          <w:tcPr>
            <w:tcW w:type="dxa" w:w="2448"/>
            <w:vAlign w:val="top"/>
          </w:tcPr>
          <w:p>
            <w:r>
              <w:t>High potential, but modern ‘knowledge-action gap’ terminology now occupied</w:t>
            </w:r>
          </w:p>
        </w:tc>
      </w:tr>
    </w:tbl>
    <w:p>
      <w:r>
        <w:t>Two books anchor the cross-cultural field. Intelligence and Wisdom: Artificial Intelligence Meets Chinese Philosophers (2021) explicitly brings Confucian, Daoist, and Buddhist perspectives to foundational questions about AI [2]. Social and Ethical Considerations of AI in East Asia and Beyond (2025) contains a dedicated “Chinese Philosophical Approaches to AI” section, including Confucian trustworthy AI and privacy [3]. These establish that “Chinese philosophy can inform AI” is no longer a novel thesis.</w:t>
      </w:r>
    </w:p>
    <w:p>
      <w:r>
        <w:t>Confucian work is the most developed. Wong’s Confucian ‘Trustworthy AI’ argues that trustworthiness is culturally thick rather than an acultural engineering keyword [4]. Recent work also emphasizes relationality and context-sensitive moral judgment. This supports relational alignment as a bridge, but a technical benchmark would need to go beyond existing normative framing.</w:t>
      </w:r>
    </w:p>
    <w:p>
      <w:r>
        <w:t>Daoist work increasingly targets the assumptions of modern AI. Recent papers use wu wei, ziran, moderation, humility, and non-coercive action to question control- and optimization-centered technological paradigms [5,6]. This creates strong conceptual support for ‘knowing when to stop’ / bounded agency, but the empirical agent-safety translation remains largely open.</w:t>
      </w:r>
    </w:p>
    <w:p>
      <w:r>
        <w:t>The most direct evidence that the field is moving toward technical AI safety is Fu’s 2026 WuXing Architecture manuscript, which proposes five functional layers linked by generative and restrictive relations to create a self-adversarial/self-repairing safety system [7]. Regardless of whether this architecture ultimately proves technically compelling, it changes the novelty baseline: reviewers can now point to an explicit Chinese-philosophy-inspired AI-safety architecture.</w:t>
      </w:r>
    </w:p>
    <w:p>
      <w:r>
        <w:t>A 2025 conference paper proposes a “Deconstruction–Translation–Embedding” model for integrating Confucian benevolence, Daoist harmony, and the Doctrine of the Mean into AI ethics [8]. Its existence reinforces the need for stronger methodological discipline: a new project should define falsifiable constructs and avoid merely relabeling established engineering mechanisms.</w:t>
      </w:r>
    </w:p>
    <w:p>
      <w:pPr>
        <w:pStyle w:val="Heading1"/>
      </w:pPr>
      <w:r>
        <w:t>4. Modern AI-safety literature that intersects the agenda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7E7E7"/>
          </w:tcPr>
          <w:p>
            <w:r>
              <w:rPr>
                <w:b/>
              </w:rPr>
              <w:t>Stream</w:t>
            </w:r>
          </w:p>
        </w:tc>
        <w:tc>
          <w:tcPr>
            <w:tcW w:type="dxa" w:w="2448"/>
            <w:shd w:fill="E7E7E7"/>
          </w:tcPr>
          <w:p>
            <w:r>
              <w:rPr>
                <w:b/>
              </w:rPr>
              <w:t>Representative work</w:t>
            </w:r>
          </w:p>
        </w:tc>
        <w:tc>
          <w:tcPr>
            <w:tcW w:type="dxa" w:w="2448"/>
            <w:shd w:fill="E7E7E7"/>
          </w:tcPr>
          <w:p>
            <w:r>
              <w:rPr>
                <w:b/>
              </w:rPr>
              <w:t>What it measures</w:t>
            </w:r>
          </w:p>
        </w:tc>
        <w:tc>
          <w:tcPr>
            <w:tcW w:type="dxa" w:w="2448"/>
            <w:shd w:fill="E7E7E7"/>
          </w:tcPr>
          <w:p>
            <w:r>
              <w:rPr>
                <w:b/>
              </w:rPr>
              <w:t>Relation to our agenda</w:t>
            </w:r>
          </w:p>
        </w:tc>
      </w:tr>
      <w:tr>
        <w:tc>
          <w:tcPr>
            <w:tcW w:type="dxa" w:w="2448"/>
            <w:vAlign w:val="top"/>
          </w:tcPr>
          <w:p>
            <w:r>
              <w:t>Safety risk awareness</w:t>
            </w:r>
          </w:p>
        </w:tc>
        <w:tc>
          <w:tcPr>
            <w:tcW w:type="dxa" w:w="2448"/>
            <w:vAlign w:val="top"/>
          </w:tcPr>
          <w:p>
            <w:r>
              <w:t>R-Judge (2024)</w:t>
            </w:r>
          </w:p>
        </w:tc>
        <w:tc>
          <w:tcPr>
            <w:tcW w:type="dxa" w:w="2448"/>
            <w:vAlign w:val="top"/>
          </w:tcPr>
          <w:p>
            <w:r>
              <w:t>Can the model recognize risks in agent trajectories?</w:t>
            </w:r>
          </w:p>
        </w:tc>
        <w:tc>
          <w:tcPr>
            <w:tcW w:type="dxa" w:w="2448"/>
            <w:vAlign w:val="top"/>
          </w:tcPr>
          <w:p>
            <w:r>
              <w:t>Natural ‘知’ component; does not pair recognition with the same model’s situated action.</w:t>
            </w:r>
          </w:p>
        </w:tc>
      </w:tr>
      <w:tr>
        <w:tc>
          <w:tcPr>
            <w:tcW w:type="dxa" w:w="2448"/>
            <w:vAlign w:val="top"/>
          </w:tcPr>
          <w:p>
            <w:r>
              <w:t>Harmful agent behavior</w:t>
            </w:r>
          </w:p>
        </w:tc>
        <w:tc>
          <w:tcPr>
            <w:tcW w:type="dxa" w:w="2448"/>
            <w:vAlign w:val="top"/>
          </w:tcPr>
          <w:p>
            <w:r>
              <w:t>AgentHarm (ICLR 2025)</w:t>
            </w:r>
          </w:p>
        </w:tc>
        <w:tc>
          <w:tcPr>
            <w:tcW w:type="dxa" w:w="2448"/>
            <w:vAlign w:val="top"/>
          </w:tcPr>
          <w:p>
            <w:r>
              <w:t>Can tool-using agents complete harmful multi-step tasks / resist safeguards?</w:t>
            </w:r>
          </w:p>
        </w:tc>
        <w:tc>
          <w:tcPr>
            <w:tcW w:type="dxa" w:w="2448"/>
            <w:vAlign w:val="top"/>
          </w:tcPr>
          <w:p>
            <w:r>
              <w:t>Strong ‘行’ environment; not designed to measure prior safety knowledge.</w:t>
            </w:r>
          </w:p>
        </w:tc>
      </w:tr>
      <w:tr>
        <w:tc>
          <w:tcPr>
            <w:tcW w:type="dxa" w:w="2448"/>
            <w:vAlign w:val="top"/>
          </w:tcPr>
          <w:p>
            <w:r>
              <w:t>Alignment faking</w:t>
            </w:r>
          </w:p>
        </w:tc>
        <w:tc>
          <w:tcPr>
            <w:tcW w:type="dxa" w:w="2448"/>
            <w:vAlign w:val="top"/>
          </w:tcPr>
          <w:p>
            <w:r>
              <w:t>Greenblatt et al. (2024/25); ChameleonBench (2025)</w:t>
            </w:r>
          </w:p>
        </w:tc>
        <w:tc>
          <w:tcPr>
            <w:tcW w:type="dxa" w:w="2448"/>
            <w:vAlign w:val="top"/>
          </w:tcPr>
          <w:p>
            <w:r>
              <w:t>Behavior changes with inferred training/evaluation context.</w:t>
            </w:r>
          </w:p>
        </w:tc>
        <w:tc>
          <w:tcPr>
            <w:tcW w:type="dxa" w:w="2448"/>
            <w:vAlign w:val="top"/>
          </w:tcPr>
          <w:p>
            <w:r>
              <w:t>Strong overlap with 慎独; narrower strategic-deception mechanism.</w:t>
            </w:r>
          </w:p>
        </w:tc>
      </w:tr>
      <w:tr>
        <w:tc>
          <w:tcPr>
            <w:tcW w:type="dxa" w:w="2448"/>
            <w:vAlign w:val="top"/>
          </w:tcPr>
          <w:p>
            <w:r>
              <w:t>Agentic misalignment</w:t>
            </w:r>
          </w:p>
        </w:tc>
        <w:tc>
          <w:tcPr>
            <w:tcW w:type="dxa" w:w="2448"/>
            <w:vAlign w:val="top"/>
          </w:tcPr>
          <w:p>
            <w:r>
              <w:t>Lynch et al. (2025/26)</w:t>
            </w:r>
          </w:p>
        </w:tc>
        <w:tc>
          <w:tcPr>
            <w:tcW w:type="dxa" w:w="2448"/>
            <w:vAlign w:val="top"/>
          </w:tcPr>
          <w:p>
            <w:r>
              <w:t>Agents choose harmful acts under goal/replacement pressure.</w:t>
            </w:r>
          </w:p>
        </w:tc>
        <w:tc>
          <w:tcPr>
            <w:tcW w:type="dxa" w:w="2448"/>
            <w:vAlign w:val="top"/>
          </w:tcPr>
          <w:p>
            <w:r>
              <w:t>Direct evidence that safety instructions can fail to govern action.</w:t>
            </w:r>
          </w:p>
        </w:tc>
      </w:tr>
      <w:tr>
        <w:tc>
          <w:tcPr>
            <w:tcW w:type="dxa" w:w="2448"/>
            <w:vAlign w:val="top"/>
          </w:tcPr>
          <w:p>
            <w:r>
              <w:t>Knowledge–behavior gap</w:t>
            </w:r>
          </w:p>
        </w:tc>
        <w:tc>
          <w:tcPr>
            <w:tcW w:type="dxa" w:w="2448"/>
            <w:vAlign w:val="top"/>
          </w:tcPr>
          <w:p>
            <w:r>
              <w:t>CulShield (ACL 2026)</w:t>
            </w:r>
          </w:p>
        </w:tc>
        <w:tc>
          <w:tcPr>
            <w:tcW w:type="dxa" w:w="2448"/>
            <w:vAlign w:val="top"/>
          </w:tcPr>
          <w:p>
            <w:r>
              <w:t>Explicit cultural knowledge does not reliably transfer to implicit behavior.</w:t>
            </w:r>
          </w:p>
        </w:tc>
        <w:tc>
          <w:tcPr>
            <w:tcW w:type="dxa" w:w="2448"/>
            <w:vAlign w:val="top"/>
          </w:tcPr>
          <w:p>
            <w:r>
              <w:t>Direct terminology/concept overlap with 知行合一.</w:t>
            </w:r>
          </w:p>
        </w:tc>
      </w:tr>
      <w:tr>
        <w:tc>
          <w:tcPr>
            <w:tcW w:type="dxa" w:w="2448"/>
            <w:vAlign w:val="top"/>
          </w:tcPr>
          <w:p>
            <w:r>
              <w:t>Knowledge–action gap</w:t>
            </w:r>
          </w:p>
        </w:tc>
        <w:tc>
          <w:tcPr>
            <w:tcW w:type="dxa" w:w="2448"/>
            <w:vAlign w:val="top"/>
          </w:tcPr>
          <w:p>
            <w:r>
              <w:t>Yamada (SSRN 2026)</w:t>
            </w:r>
          </w:p>
        </w:tc>
        <w:tc>
          <w:tcPr>
            <w:tcW w:type="dxa" w:w="2448"/>
            <w:vAlign w:val="top"/>
          </w:tcPr>
          <w:p>
            <w:r>
              <w:t>Conceptualizes known honesty principles failing to constrain generation.</w:t>
            </w:r>
          </w:p>
        </w:tc>
        <w:tc>
          <w:tcPr>
            <w:tcW w:type="dxa" w:w="2448"/>
            <w:vAlign w:val="top"/>
          </w:tcPr>
          <w:p>
            <w:r>
              <w:t>Direct title-level overlap; not a broad empirical agent benchmark.</w:t>
            </w:r>
          </w:p>
        </w:tc>
      </w:tr>
      <w:tr>
        <w:tc>
          <w:tcPr>
            <w:tcW w:type="dxa" w:w="2448"/>
            <w:vAlign w:val="top"/>
          </w:tcPr>
          <w:p>
            <w:r>
              <w:t>Prompt-injection/tool safety</w:t>
            </w:r>
          </w:p>
        </w:tc>
        <w:tc>
          <w:tcPr>
            <w:tcW w:type="dxa" w:w="2448"/>
            <w:vAlign w:val="top"/>
          </w:tcPr>
          <w:p>
            <w:r>
              <w:t>AgentDojo and related work</w:t>
            </w:r>
          </w:p>
        </w:tc>
        <w:tc>
          <w:tcPr>
            <w:tcW w:type="dxa" w:w="2448"/>
            <w:vAlign w:val="top"/>
          </w:tcPr>
          <w:p>
            <w:r>
              <w:t>Agents can be manipulated through environment/tool context.</w:t>
            </w:r>
          </w:p>
        </w:tc>
        <w:tc>
          <w:tcPr>
            <w:tcW w:type="dxa" w:w="2448"/>
            <w:vAlign w:val="top"/>
          </w:tcPr>
          <w:p>
            <w:r>
              <w:t>Useful stressor for knowledge→action transfer and cyber evaluation.</w:t>
            </w:r>
          </w:p>
        </w:tc>
      </w:tr>
    </w:tbl>
    <w:p>
      <w:r>
        <w:t>R-Judge is especially important for the 知行合一 agenda because it explicitly benchmarks an LLM’s ability to identify safety risks in agent interaction records, framing risk awareness as involving knowledge and reasoning [9]. AgentHarm, by contrast, evaluates harmful multi-step agent behavior with tools and includes cybercrime among its harm categories [10]. Their separation exposes the opening: one benchmark measures recognition, another behavior; neither is fundamentally designed around within-model knowledge–action consistency under matched scenarios.</w:t>
      </w:r>
    </w:p>
    <w:p>
      <w:r>
        <w:t>Alignment-faking work creates a strong adjacent literature for 慎独. Greenblatt et al. empirically demonstrated differential behavior when models infer training versus deployment conditions [11], and ChameleonBench subsequently quantified behavioral shifts across free/test-like conditions [12]. Agentic-misalignment experiments further found that models sometimes chose harmful insider-like actions under goal conflict or replacement pressure, and behavior differed depending on whether the model inferred a test or real deployment [13].</w:t>
      </w:r>
    </w:p>
    <w:p>
      <w:r>
        <w:t>The most consequential novelty collision is CulShield (ACL 2026). It explicitly evaluates both cultural-taboo knowledge and implicit behavior and reports a ‘knowledge–behavior gap’ [14]. Separately, Yamada’s 2026 SSRN manuscript uses the exact phrase ‘Knowledge-Action Gap’ for the discrepancy between articulated principles such as honesty and their application during generation [15]. Therefore a paper titled simply ‘The Knowledge–Action Gap in LLMs’ would now be weakly differentiated.</w:t>
      </w:r>
    </w:p>
    <w:p>
      <w:pPr>
        <w:pStyle w:val="Heading1"/>
      </w:pPr>
      <w:r>
        <w:t>5. Concept-by-concept novelty assessment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E7E7E7"/>
          </w:tcPr>
          <w:p>
            <w:r>
              <w:rPr>
                <w:b/>
              </w:rPr>
              <w:t>Concept</w:t>
            </w:r>
          </w:p>
        </w:tc>
        <w:tc>
          <w:tcPr>
            <w:tcW w:type="dxa" w:w="1958"/>
            <w:shd w:fill="E7E7E7"/>
          </w:tcPr>
          <w:p>
            <w:r>
              <w:rPr>
                <w:b/>
              </w:rPr>
              <w:t>Potential</w:t>
            </w:r>
          </w:p>
        </w:tc>
        <w:tc>
          <w:tcPr>
            <w:tcW w:type="dxa" w:w="1958"/>
            <w:shd w:fill="E7E7E7"/>
          </w:tcPr>
          <w:p>
            <w:r>
              <w:rPr>
                <w:b/>
              </w:rPr>
              <w:t>Experimental tractability</w:t>
            </w:r>
          </w:p>
        </w:tc>
        <w:tc>
          <w:tcPr>
            <w:tcW w:type="dxa" w:w="1958"/>
            <w:shd w:fill="E7E7E7"/>
          </w:tcPr>
          <w:p>
            <w:r>
              <w:rPr>
                <w:b/>
              </w:rPr>
              <w:t>Novelty after review</w:t>
            </w:r>
          </w:p>
        </w:tc>
        <w:tc>
          <w:tcPr>
            <w:tcW w:type="dxa" w:w="1958"/>
            <w:shd w:fill="E7E7E7"/>
          </w:tcPr>
          <w:p>
            <w:r>
              <w:rPr>
                <w:b/>
              </w:rPr>
              <w:t>Best technical angle</w:t>
            </w:r>
          </w:p>
        </w:tc>
      </w:tr>
      <w:tr>
        <w:tc>
          <w:tcPr>
            <w:tcW w:type="dxa" w:w="1958"/>
            <w:vAlign w:val="top"/>
          </w:tcPr>
          <w:p>
            <w:r>
              <w:t>知行合一</w:t>
            </w:r>
          </w:p>
        </w:tc>
        <w:tc>
          <w:tcPr>
            <w:tcW w:type="dxa" w:w="1958"/>
            <w:vAlign w:val="top"/>
          </w:tcPr>
          <w:p>
            <w:r>
              <w:t>★★★★★</w:t>
            </w:r>
          </w:p>
        </w:tc>
        <w:tc>
          <w:tcPr>
            <w:tcW w:type="dxa" w:w="1958"/>
            <w:vAlign w:val="top"/>
          </w:tcPr>
          <w:p>
            <w:r>
              <w:t>★★★★★</w:t>
            </w:r>
          </w:p>
        </w:tc>
        <w:tc>
          <w:tcPr>
            <w:tcW w:type="dxa" w:w="1958"/>
            <w:vAlign w:val="top"/>
          </w:tcPr>
          <w:p>
            <w:r>
              <w:t>Medium if framed generically; High if agentic, paired, causal, intervention-focused</w:t>
            </w:r>
          </w:p>
        </w:tc>
        <w:tc>
          <w:tcPr>
            <w:tcW w:type="dxa" w:w="1958"/>
            <w:vAlign w:val="top"/>
          </w:tcPr>
          <w:p>
            <w:r>
              <w:t>Build matched Know→Act pairs; tool use; pressure manipulations; intervention study.</w:t>
            </w:r>
          </w:p>
        </w:tc>
      </w:tr>
      <w:tr>
        <w:tc>
          <w:tcPr>
            <w:tcW w:type="dxa" w:w="1958"/>
            <w:vAlign w:val="top"/>
          </w:tcPr>
          <w:p>
            <w:r>
              <w:t>慎独</w:t>
            </w:r>
          </w:p>
        </w:tc>
        <w:tc>
          <w:tcPr>
            <w:tcW w:type="dxa" w:w="1958"/>
            <w:vAlign w:val="top"/>
          </w:tcPr>
          <w:p>
            <w:r>
              <w:t>★★★★☆</w:t>
            </w:r>
          </w:p>
        </w:tc>
        <w:tc>
          <w:tcPr>
            <w:tcW w:type="dxa" w:w="1958"/>
            <w:vAlign w:val="top"/>
          </w:tcPr>
          <w:p>
            <w:r>
              <w:t>★★★★★</w:t>
            </w:r>
          </w:p>
        </w:tc>
        <w:tc>
          <w:tcPr>
            <w:tcW w:type="dxa" w:w="1958"/>
            <w:vAlign w:val="top"/>
          </w:tcPr>
          <w:p>
            <w:r>
              <w:t>High, but alignment-faking/evaluation-awareness are close neighbors</w:t>
            </w:r>
          </w:p>
        </w:tc>
        <w:tc>
          <w:tcPr>
            <w:tcW w:type="dxa" w:w="1958"/>
            <w:vAlign w:val="top"/>
          </w:tcPr>
          <w:p>
            <w:r>
              <w:t>Define oversight invariance beyond strategic training deception.</w:t>
            </w:r>
          </w:p>
        </w:tc>
      </w:tr>
      <w:tr>
        <w:tc>
          <w:tcPr>
            <w:tcW w:type="dxa" w:w="1958"/>
            <w:vAlign w:val="top"/>
          </w:tcPr>
          <w:p>
            <w:r>
              <w:t>知止</w:t>
            </w:r>
          </w:p>
        </w:tc>
        <w:tc>
          <w:tcPr>
            <w:tcW w:type="dxa" w:w="1958"/>
            <w:vAlign w:val="top"/>
          </w:tcPr>
          <w:p>
            <w:r>
              <w:t>★★★★★</w:t>
            </w:r>
          </w:p>
        </w:tc>
        <w:tc>
          <w:tcPr>
            <w:tcW w:type="dxa" w:w="1958"/>
            <w:vAlign w:val="top"/>
          </w:tcPr>
          <w:p>
            <w:r>
              <w:t>★★★★☆</w:t>
            </w:r>
          </w:p>
        </w:tc>
        <w:tc>
          <w:tcPr>
            <w:tcW w:type="dxa" w:w="1958"/>
            <w:vAlign w:val="top"/>
          </w:tcPr>
          <w:p>
            <w:r>
              <w:t>High</w:t>
            </w:r>
          </w:p>
        </w:tc>
        <w:tc>
          <w:tcPr>
            <w:tcW w:type="dxa" w:w="1958"/>
            <w:vAlign w:val="top"/>
          </w:tcPr>
          <w:p>
            <w:r>
              <w:t>Stop/defer/abstain under changing risk; unsafe persistence vs premature stopping.</w:t>
            </w:r>
          </w:p>
        </w:tc>
      </w:tr>
      <w:tr>
        <w:tc>
          <w:tcPr>
            <w:tcW w:type="dxa" w:w="1958"/>
            <w:vAlign w:val="top"/>
          </w:tcPr>
          <w:p>
            <w:r>
              <w:t>兼爱</w:t>
            </w:r>
          </w:p>
        </w:tc>
        <w:tc>
          <w:tcPr>
            <w:tcW w:type="dxa" w:w="1958"/>
            <w:vAlign w:val="top"/>
          </w:tcPr>
          <w:p>
            <w:r>
              <w:t>★★★★★</w:t>
            </w:r>
          </w:p>
        </w:tc>
        <w:tc>
          <w:tcPr>
            <w:tcW w:type="dxa" w:w="1958"/>
            <w:vAlign w:val="top"/>
          </w:tcPr>
          <w:p>
            <w:r>
              <w:t>★★★☆☆</w:t>
            </w:r>
          </w:p>
        </w:tc>
        <w:tc>
          <w:tcPr>
            <w:tcW w:type="dxa" w:w="1958"/>
            <w:vAlign w:val="top"/>
          </w:tcPr>
          <w:p>
            <w:r>
              <w:t>High</w:t>
            </w:r>
          </w:p>
        </w:tc>
        <w:tc>
          <w:tcPr>
            <w:tcW w:type="dxa" w:w="1958"/>
            <w:vAlign w:val="top"/>
          </w:tcPr>
          <w:p>
            <w:r>
              <w:t>Multi-agent externalities: individually aligned vs collectively harmful equilibria.</w:t>
            </w:r>
          </w:p>
        </w:tc>
      </w:tr>
      <w:tr>
        <w:tc>
          <w:tcPr>
            <w:tcW w:type="dxa" w:w="1958"/>
            <w:vAlign w:val="top"/>
          </w:tcPr>
          <w:p>
            <w:r>
              <w:t>正名</w:t>
            </w:r>
          </w:p>
        </w:tc>
        <w:tc>
          <w:tcPr>
            <w:tcW w:type="dxa" w:w="1958"/>
            <w:vAlign w:val="top"/>
          </w:tcPr>
          <w:p>
            <w:r>
              <w:t>★★★★☆</w:t>
            </w:r>
          </w:p>
        </w:tc>
        <w:tc>
          <w:tcPr>
            <w:tcW w:type="dxa" w:w="1958"/>
            <w:vAlign w:val="top"/>
          </w:tcPr>
          <w:p>
            <w:r>
              <w:t>★★★☆☆</w:t>
            </w:r>
          </w:p>
        </w:tc>
        <w:tc>
          <w:tcPr>
            <w:tcW w:type="dxa" w:w="1958"/>
            <w:vAlign w:val="top"/>
          </w:tcPr>
          <w:p>
            <w:r>
              <w:t>Medium–high</w:t>
            </w:r>
          </w:p>
        </w:tc>
        <w:tc>
          <w:tcPr>
            <w:tcW w:type="dxa" w:w="1958"/>
            <w:vAlign w:val="top"/>
          </w:tcPr>
          <w:p>
            <w:r>
              <w:t>Proxy/intent/specification mismatch; needs sharper distinction from Goodhart/spec gaming.</w:t>
            </w:r>
          </w:p>
        </w:tc>
      </w:tr>
      <w:tr>
        <w:tc>
          <w:tcPr>
            <w:tcW w:type="dxa" w:w="1958"/>
            <w:vAlign w:val="top"/>
          </w:tcPr>
          <w:p>
            <w:r>
              <w:t>无为</w:t>
            </w:r>
          </w:p>
        </w:tc>
        <w:tc>
          <w:tcPr>
            <w:tcW w:type="dxa" w:w="1958"/>
            <w:vAlign w:val="top"/>
          </w:tcPr>
          <w:p>
            <w:r>
              <w:t>★★★★☆</w:t>
            </w:r>
          </w:p>
        </w:tc>
        <w:tc>
          <w:tcPr>
            <w:tcW w:type="dxa" w:w="1958"/>
            <w:vAlign w:val="top"/>
          </w:tcPr>
          <w:p>
            <w:r>
              <w:t>★★★☆☆</w:t>
            </w:r>
          </w:p>
        </w:tc>
        <w:tc>
          <w:tcPr>
            <w:tcW w:type="dxa" w:w="1958"/>
            <w:vAlign w:val="top"/>
          </w:tcPr>
          <w:p>
            <w:r>
              <w:t>Medium</w:t>
            </w:r>
          </w:p>
        </w:tc>
        <w:tc>
          <w:tcPr>
            <w:tcW w:type="dxa" w:w="1958"/>
            <w:vAlign w:val="top"/>
          </w:tcPr>
          <w:p>
            <w:r>
              <w:t>Conservative agency/minimal intervention; avoid merely renaming least privilege.</w:t>
            </w:r>
          </w:p>
        </w:tc>
      </w:tr>
      <w:tr>
        <w:tc>
          <w:tcPr>
            <w:tcW w:type="dxa" w:w="1958"/>
            <w:vAlign w:val="top"/>
          </w:tcPr>
          <w:p>
            <w:r>
              <w:t>兵家</w:t>
            </w:r>
          </w:p>
        </w:tc>
        <w:tc>
          <w:tcPr>
            <w:tcW w:type="dxa" w:w="1958"/>
            <w:vAlign w:val="top"/>
          </w:tcPr>
          <w:p>
            <w:r>
              <w:t>★★★☆☆</w:t>
            </w:r>
          </w:p>
        </w:tc>
        <w:tc>
          <w:tcPr>
            <w:tcW w:type="dxa" w:w="1958"/>
            <w:vAlign w:val="top"/>
          </w:tcPr>
          <w:p>
            <w:r>
              <w:t>★★★★★</w:t>
            </w:r>
          </w:p>
        </w:tc>
        <w:tc>
          <w:tcPr>
            <w:tcW w:type="dxa" w:w="1958"/>
            <w:vAlign w:val="top"/>
          </w:tcPr>
          <w:p>
            <w:r>
              <w:t>Medium</w:t>
            </w:r>
          </w:p>
        </w:tc>
        <w:tc>
          <w:tcPr>
            <w:tcW w:type="dxa" w:w="1958"/>
            <w:vAlign w:val="top"/>
          </w:tcPr>
          <w:p>
            <w:r>
              <w:t>Sunzi→cybersecurity exists; focus on autonomous defensive agent policies and adaptive deception.</w:t>
            </w:r>
          </w:p>
        </w:tc>
      </w:tr>
      <w:tr>
        <w:tc>
          <w:tcPr>
            <w:tcW w:type="dxa" w:w="1958"/>
            <w:vAlign w:val="top"/>
          </w:tcPr>
          <w:p>
            <w:r>
              <w:t>法/术/势/形名</w:t>
            </w:r>
          </w:p>
        </w:tc>
        <w:tc>
          <w:tcPr>
            <w:tcW w:type="dxa" w:w="1958"/>
            <w:vAlign w:val="top"/>
          </w:tcPr>
          <w:p>
            <w:r>
              <w:t>★★★★☆</w:t>
            </w:r>
          </w:p>
        </w:tc>
        <w:tc>
          <w:tcPr>
            <w:tcW w:type="dxa" w:w="1958"/>
            <w:vAlign w:val="top"/>
          </w:tcPr>
          <w:p>
            <w:r>
              <w:t>★★★★☆</w:t>
            </w:r>
          </w:p>
        </w:tc>
        <w:tc>
          <w:tcPr>
            <w:tcW w:type="dxa" w:w="1958"/>
            <w:vAlign w:val="top"/>
          </w:tcPr>
          <w:p>
            <w:r>
              <w:t>High for technical control</w:t>
            </w:r>
          </w:p>
        </w:tc>
        <w:tc>
          <w:tcPr>
            <w:tcW w:type="dxa" w:w="1958"/>
            <w:vAlign w:val="top"/>
          </w:tcPr>
          <w:p>
            <w:r>
              <w:t>External constraints, monitoring, permissions, claim–behavior auditing.</w:t>
            </w:r>
          </w:p>
        </w:tc>
      </w:tr>
    </w:tbl>
    <w:p>
      <w:pPr>
        <w:pStyle w:val="Heading1"/>
      </w:pPr>
      <w:r>
        <w:t>6. 知行合一: revised research thesis after the SLR</w:t>
      </w:r>
    </w:p>
    <w:p>
      <w:r>
        <w:t>The SLR changes the recommended claim. Do not claim discovery of a generic knowledge–action gap. Instead, define Zhixing Alignment as a paired, situated, agentic safety property: the degree to which a model’s demonstrated safety judgment reliably governs its subsequent actions when incentives, autonomy, tool access, and perceived oversight change.</w:t>
      </w:r>
    </w:p>
    <w:p>
      <w:r>
        <w:t>A defensible operationalization separates at least five stages: K (demonstrated knowledge/risk recognition), C (capability to execute the safe alternative), S (selection under competing incentives), A (actual tool/action trace), and O (environmental outcome). This avoids treating a safe verbal answer as proof of internal belief and avoids treating an unsafe outcome as necessarily a knowledge failure.</w:t>
      </w:r>
    </w:p>
    <w:p>
      <w:r>
        <w:t>Core metric family. For matched scenario i, estimate K_i from controlled safety elicitation and A_i from an action environment. The primary Knowledge–Action Gap can be reported as KAG = P(K_safe) − P(A_safe), but the more informative statistic is conditional violation V = P(A_unsafe | K_safe, C_safe), because it isolates cases in which the model demonstrates the relevant knowledge and capability yet fails to act accordingly.</w:t>
      </w:r>
    </w:p>
    <w:p>
      <w:r>
        <w:t>Causal moderators should include goal/reward pressure, time pressure, authority cues, competition, tool autonomy, reversibility of actions, observability/auditability, and availability of defer/stop options. This transforms the project from a descriptive benchmark into a causal study of when safety knowledge ceases to govern behavior.</w:t>
      </w:r>
    </w:p>
    <w:p>
      <w:r>
        <w:t>Interventions can compare: safety instruction only; situated safe-action practice; action-time constraint checking; explicit defer/stop affordances; and external policy enforcement. The philosophically stronger Wang Yangming-inspired hypothesis is not merely that knowledge precedes action, but that robust ‘knowing’ should be evidenced through reliable situated conduct. Methodologically, however, the paper should call K ‘demonstrated/elicited safety knowledge’ rather than latent or true knowledge.</w:t>
      </w:r>
    </w:p>
    <w:p>
      <w:pPr>
        <w:pStyle w:val="Heading1"/>
      </w:pPr>
      <w:r>
        <w:t>7. High-priority research questions</w:t>
      </w:r>
    </w:p>
    <w:p>
      <w:pPr>
        <w:pStyle w:val="ListBullet"/>
      </w:pPr>
      <w:r>
        <w:t>RQ-Z1: How large is the within-model safety knowledge–action gap across matched agentic scenarios?</w:t>
      </w:r>
    </w:p>
    <w:p>
      <w:pPr>
        <w:pStyle w:val="ListBullet"/>
      </w:pPr>
      <w:r>
        <w:t>RQ-Z2: Does the gap widen monotonically with goal/reward pressure, autonomy, or time pressure?</w:t>
      </w:r>
    </w:p>
    <w:p>
      <w:pPr>
        <w:pStyle w:val="ListBullet"/>
      </w:pPr>
      <w:r>
        <w:t>RQ-Z3: Does perceived observability moderate the gap, linking 知行合一 to 慎独?</w:t>
      </w:r>
    </w:p>
    <w:p>
      <w:pPr>
        <w:pStyle w:val="ListBullet"/>
      </w:pPr>
      <w:r>
        <w:t>RQ-Z4: Are knowledge–action failures domain-general or concentrated in cyber, privacy, finance, persuasion, and data-handling tasks?</w:t>
      </w:r>
    </w:p>
    <w:p>
      <w:pPr>
        <w:pStyle w:val="ListBullet"/>
      </w:pPr>
      <w:r>
        <w:t>RQ-Z5: Does the model possess a safe action capability but fail at selection, or is the failure primarily capability-limited?</w:t>
      </w:r>
    </w:p>
    <w:p>
      <w:pPr>
        <w:pStyle w:val="ListBullet"/>
      </w:pPr>
      <w:r>
        <w:t>RQ-Z6: Are explicit rationales predictive of subsequent tool actions, after controlling for prompt framing?</w:t>
      </w:r>
    </w:p>
    <w:p>
      <w:pPr>
        <w:pStyle w:val="ListBullet"/>
      </w:pPr>
      <w:r>
        <w:t>RQ-Z7: Does action-time self-checking reduce conditional violation without causing excessive abstention?</w:t>
      </w:r>
    </w:p>
    <w:p>
      <w:pPr>
        <w:pStyle w:val="ListBullet"/>
      </w:pPr>
      <w:r>
        <w:t>RQ-Z8: Does situated safety practice transfer better to novel action environments than declarative safety instruction?</w:t>
      </w:r>
    </w:p>
    <w:p>
      <w:pPr>
        <w:pStyle w:val="ListBullet"/>
      </w:pPr>
      <w:r>
        <w:t>RQ-Z9: Do models learn to verbalize safety without improving behavior (a ‘verbal alignment’ failure)?</w:t>
      </w:r>
    </w:p>
    <w:p>
      <w:pPr>
        <w:pStyle w:val="ListBullet"/>
      </w:pPr>
      <w:r>
        <w:t>RQ-Z10: Does tool access create a larger knowledge–action gap than text-only generation?</w:t>
      </w:r>
    </w:p>
    <w:p>
      <w:pPr>
        <w:pStyle w:val="ListBullet"/>
      </w:pPr>
      <w:r>
        <w:t>RQ-Z11: In cyber-defense agents, does pressure to maximize task success increase unauthorized or over-broad actions despite correct policy knowledge?</w:t>
      </w:r>
    </w:p>
    <w:p>
      <w:pPr>
        <w:pStyle w:val="ListBullet"/>
      </w:pPr>
      <w:r>
        <w:t>RQ-Z12: Can an external enforcement layer close the gap more reliably than additional alignment prompting?</w:t>
      </w:r>
    </w:p>
    <w:p>
      <w:pPr>
        <w:pStyle w:val="Heading1"/>
      </w:pPr>
      <w:r>
        <w:t>8. A unified Chinese-philosophy-inspired AI-safety framework</w:t>
      </w:r>
    </w:p>
    <w:p>
      <w:r>
        <w:t>The concepts discovered in the review can be organized as a safety pipeline rather than a collection of quotations: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7E7E7"/>
          </w:tcPr>
          <w:p>
            <w:r>
              <w:rPr>
                <w:b/>
              </w:rPr>
              <w:t>Stage</w:t>
            </w:r>
          </w:p>
        </w:tc>
        <w:tc>
          <w:tcPr>
            <w:tcW w:type="dxa" w:w="3264"/>
            <w:shd w:fill="E7E7E7"/>
          </w:tcPr>
          <w:p>
            <w:r>
              <w:rPr>
                <w:b/>
              </w:rPr>
              <w:t>Classical lens</w:t>
            </w:r>
          </w:p>
        </w:tc>
        <w:tc>
          <w:tcPr>
            <w:tcW w:type="dxa" w:w="3264"/>
            <w:shd w:fill="E7E7E7"/>
          </w:tcPr>
          <w:p>
            <w:r>
              <w:rPr>
                <w:b/>
              </w:rPr>
              <w:t>Technical question</w:t>
            </w:r>
          </w:p>
        </w:tc>
      </w:tr>
      <w:tr>
        <w:tc>
          <w:tcPr>
            <w:tcW w:type="dxa" w:w="3264"/>
            <w:vAlign w:val="top"/>
          </w:tcPr>
          <w:p>
            <w:r>
              <w:t>Specification</w:t>
            </w:r>
          </w:p>
        </w:tc>
        <w:tc>
          <w:tcPr>
            <w:tcW w:type="dxa" w:w="3264"/>
            <w:vAlign w:val="top"/>
          </w:tcPr>
          <w:p>
            <w:r>
              <w:t>正名</w:t>
            </w:r>
          </w:p>
        </w:tc>
        <w:tc>
          <w:tcPr>
            <w:tcW w:type="dxa" w:w="3264"/>
            <w:vAlign w:val="top"/>
          </w:tcPr>
          <w:p>
            <w:r>
              <w:t>Did we specify/name the intended objective, role, object, and constraint correctly?</w:t>
            </w:r>
          </w:p>
        </w:tc>
      </w:tr>
      <w:tr>
        <w:tc>
          <w:tcPr>
            <w:tcW w:type="dxa" w:w="3264"/>
            <w:vAlign w:val="top"/>
          </w:tcPr>
          <w:p>
            <w:r>
              <w:t>Recognition</w:t>
            </w:r>
          </w:p>
        </w:tc>
        <w:tc>
          <w:tcPr>
            <w:tcW w:type="dxa" w:w="3264"/>
            <w:vAlign w:val="top"/>
          </w:tcPr>
          <w:p>
            <w:r>
              <w:t>知</w:t>
            </w:r>
          </w:p>
        </w:tc>
        <w:tc>
          <w:tcPr>
            <w:tcW w:type="dxa" w:w="3264"/>
            <w:vAlign w:val="top"/>
          </w:tcPr>
          <w:p>
            <w:r>
              <w:t>Can the agent recognize the relevant safety norm/risk in context?</w:t>
            </w:r>
          </w:p>
        </w:tc>
      </w:tr>
      <w:tr>
        <w:tc>
          <w:tcPr>
            <w:tcW w:type="dxa" w:w="3264"/>
            <w:vAlign w:val="top"/>
          </w:tcPr>
          <w:p>
            <w:r>
              <w:t>Enactment</w:t>
            </w:r>
          </w:p>
        </w:tc>
        <w:tc>
          <w:tcPr>
            <w:tcW w:type="dxa" w:w="3264"/>
            <w:vAlign w:val="top"/>
          </w:tcPr>
          <w:p>
            <w:r>
              <w:t>知行合一</w:t>
            </w:r>
          </w:p>
        </w:tc>
        <w:tc>
          <w:tcPr>
            <w:tcW w:type="dxa" w:w="3264"/>
            <w:vAlign w:val="top"/>
          </w:tcPr>
          <w:p>
            <w:r>
              <w:t>Does demonstrated safety knowledge govern situated action?</w:t>
            </w:r>
          </w:p>
        </w:tc>
      </w:tr>
      <w:tr>
        <w:tc>
          <w:tcPr>
            <w:tcW w:type="dxa" w:w="3264"/>
            <w:vAlign w:val="top"/>
          </w:tcPr>
          <w:p>
            <w:r>
              <w:t>Oversight invariance</w:t>
            </w:r>
          </w:p>
        </w:tc>
        <w:tc>
          <w:tcPr>
            <w:tcW w:type="dxa" w:w="3264"/>
            <w:vAlign w:val="top"/>
          </w:tcPr>
          <w:p>
            <w:r>
              <w:t>慎独</w:t>
            </w:r>
          </w:p>
        </w:tc>
        <w:tc>
          <w:tcPr>
            <w:tcW w:type="dxa" w:w="3264"/>
            <w:vAlign w:val="top"/>
          </w:tcPr>
          <w:p>
            <w:r>
              <w:t>Does safe behavior persist when oversight is absent or believed absent?</w:t>
            </w:r>
          </w:p>
        </w:tc>
      </w:tr>
      <w:tr>
        <w:tc>
          <w:tcPr>
            <w:tcW w:type="dxa" w:w="3264"/>
            <w:vAlign w:val="top"/>
          </w:tcPr>
          <w:p>
            <w:r>
              <w:t>Restraint</w:t>
            </w:r>
          </w:p>
        </w:tc>
        <w:tc>
          <w:tcPr>
            <w:tcW w:type="dxa" w:w="3264"/>
            <w:vAlign w:val="top"/>
          </w:tcPr>
          <w:p>
            <w:r>
              <w:t>知止 / 无为</w:t>
            </w:r>
          </w:p>
        </w:tc>
        <w:tc>
          <w:tcPr>
            <w:tcW w:type="dxa" w:w="3264"/>
            <w:vAlign w:val="top"/>
          </w:tcPr>
          <w:p>
            <w:r>
              <w:t>Can the agent stop, defer, abstain, or minimize intervention when continued optimization is unsafe?</w:t>
            </w:r>
          </w:p>
        </w:tc>
      </w:tr>
      <w:tr>
        <w:tc>
          <w:tcPr>
            <w:tcW w:type="dxa" w:w="3264"/>
            <w:vAlign w:val="top"/>
          </w:tcPr>
          <w:p>
            <w:r>
              <w:t>Social externality</w:t>
            </w:r>
          </w:p>
        </w:tc>
        <w:tc>
          <w:tcPr>
            <w:tcW w:type="dxa" w:w="3264"/>
            <w:vAlign w:val="top"/>
          </w:tcPr>
          <w:p>
            <w:r>
              <w:t>兼爱 / 恕</w:t>
            </w:r>
          </w:p>
        </w:tc>
        <w:tc>
          <w:tcPr>
            <w:tcW w:type="dxa" w:w="3264"/>
            <w:vAlign w:val="top"/>
          </w:tcPr>
          <w:p>
            <w:r>
              <w:t>Does local alignment avoid imposing unacceptable harms on others?</w:t>
            </w:r>
          </w:p>
        </w:tc>
      </w:tr>
      <w:tr>
        <w:tc>
          <w:tcPr>
            <w:tcW w:type="dxa" w:w="3264"/>
            <w:vAlign w:val="top"/>
          </w:tcPr>
          <w:p>
            <w:r>
              <w:t>Institutional control</w:t>
            </w:r>
          </w:p>
        </w:tc>
        <w:tc>
          <w:tcPr>
            <w:tcW w:type="dxa" w:w="3264"/>
            <w:vAlign w:val="top"/>
          </w:tcPr>
          <w:p>
            <w:r>
              <w:t>法/术/势/形名</w:t>
            </w:r>
          </w:p>
        </w:tc>
        <w:tc>
          <w:tcPr>
            <w:tcW w:type="dxa" w:w="3264"/>
            <w:vAlign w:val="top"/>
          </w:tcPr>
          <w:p>
            <w:r>
              <w:t>Do permissions, monitoring, accountability, and behavior audits contain unreliable agents?</w:t>
            </w:r>
          </w:p>
        </w:tc>
      </w:tr>
      <w:tr>
        <w:tc>
          <w:tcPr>
            <w:tcW w:type="dxa" w:w="3264"/>
            <w:vAlign w:val="top"/>
          </w:tcPr>
          <w:p>
            <w:r>
              <w:t>Adversarial adaptation</w:t>
            </w:r>
          </w:p>
        </w:tc>
        <w:tc>
          <w:tcPr>
            <w:tcW w:type="dxa" w:w="3264"/>
            <w:vAlign w:val="top"/>
          </w:tcPr>
          <w:p>
            <w:r>
              <w:t>兵家</w:t>
            </w:r>
          </w:p>
        </w:tc>
        <w:tc>
          <w:tcPr>
            <w:tcW w:type="dxa" w:w="3264"/>
            <w:vAlign w:val="top"/>
          </w:tcPr>
          <w:p>
            <w:r>
              <w:t>Can defensive agents reason strategically under deception, adaptation, and asymmetric information?</w:t>
            </w:r>
          </w:p>
        </w:tc>
      </w:tr>
    </w:tbl>
    <w:p>
      <w:pPr>
        <w:pStyle w:val="Heading1"/>
      </w:pPr>
      <w:r>
        <w:t>9. Candidate paper portfolio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7E7E7"/>
          </w:tcPr>
          <w:p>
            <w:r>
              <w:rPr>
                <w:b/>
              </w:rPr>
              <w:t>Priority</w:t>
            </w:r>
          </w:p>
        </w:tc>
        <w:tc>
          <w:tcPr>
            <w:tcW w:type="dxa" w:w="2448"/>
            <w:shd w:fill="E7E7E7"/>
          </w:tcPr>
          <w:p>
            <w:r>
              <w:rPr>
                <w:b/>
              </w:rPr>
              <w:t>Working title</w:t>
            </w:r>
          </w:p>
        </w:tc>
        <w:tc>
          <w:tcPr>
            <w:tcW w:type="dxa" w:w="2448"/>
            <w:shd w:fill="E7E7E7"/>
          </w:tcPr>
          <w:p>
            <w:r>
              <w:rPr>
                <w:b/>
              </w:rPr>
              <w:t>Contribution</w:t>
            </w:r>
          </w:p>
        </w:tc>
        <w:tc>
          <w:tcPr>
            <w:tcW w:type="dxa" w:w="2448"/>
            <w:shd w:fill="E7E7E7"/>
          </w:tcPr>
          <w:p>
            <w:r>
              <w:rPr>
                <w:b/>
              </w:rPr>
              <w:t>SLR verdict</w:t>
            </w:r>
          </w:p>
        </w:tc>
      </w:tr>
      <w:tr>
        <w:tc>
          <w:tcPr>
            <w:tcW w:type="dxa" w:w="2448"/>
            <w:vAlign w:val="top"/>
          </w:tcPr>
          <w:p>
            <w:r>
              <w:t>1</w:t>
            </w:r>
          </w:p>
        </w:tc>
        <w:tc>
          <w:tcPr>
            <w:tcW w:type="dxa" w:w="2448"/>
            <w:vAlign w:val="top"/>
          </w:tcPr>
          <w:p>
            <w:r>
              <w:t>Knowing Is Not Doing: Measuring Knowledge–Action Consistency in Tool-Using AI Agents</w:t>
            </w:r>
          </w:p>
        </w:tc>
        <w:tc>
          <w:tcPr>
            <w:tcW w:type="dxa" w:w="2448"/>
            <w:vAlign w:val="top"/>
          </w:tcPr>
          <w:p>
            <w:r>
              <w:t>Paired benchmark + causal stress tests + interventions</w:t>
            </w:r>
          </w:p>
        </w:tc>
        <w:tc>
          <w:tcPr>
            <w:tcW w:type="dxa" w:w="2448"/>
            <w:vAlign w:val="top"/>
          </w:tcPr>
          <w:p>
            <w:r>
              <w:t>Best first empirical paper; rename away from generic KAG novelty claim.</w:t>
            </w:r>
          </w:p>
        </w:tc>
      </w:tr>
      <w:tr>
        <w:tc>
          <w:tcPr>
            <w:tcW w:type="dxa" w:w="2448"/>
            <w:vAlign w:val="top"/>
          </w:tcPr>
          <w:p>
            <w:r>
              <w:t>2</w:t>
            </w:r>
          </w:p>
        </w:tc>
        <w:tc>
          <w:tcPr>
            <w:tcW w:type="dxa" w:w="2448"/>
            <w:vAlign w:val="top"/>
          </w:tcPr>
          <w:p>
            <w:r>
              <w:t>When No One Is Watching: Oversight-Invariant Alignment Inspired by 慎独</w:t>
            </w:r>
          </w:p>
        </w:tc>
        <w:tc>
          <w:tcPr>
            <w:tcW w:type="dxa" w:w="2448"/>
            <w:vAlign w:val="top"/>
          </w:tcPr>
          <w:p>
            <w:r>
              <w:t>Observed/unobserved behavior benchmark</w:t>
            </w:r>
          </w:p>
        </w:tc>
        <w:tc>
          <w:tcPr>
            <w:tcW w:type="dxa" w:w="2448"/>
            <w:vAlign w:val="top"/>
          </w:tcPr>
          <w:p>
            <w:r>
              <w:t>Strong, but must differentiate from alignment faking and ChameleonBench.</w:t>
            </w:r>
          </w:p>
        </w:tc>
      </w:tr>
      <w:tr>
        <w:tc>
          <w:tcPr>
            <w:tcW w:type="dxa" w:w="2448"/>
            <w:vAlign w:val="top"/>
          </w:tcPr>
          <w:p>
            <w:r>
              <w:t>3</w:t>
            </w:r>
          </w:p>
        </w:tc>
        <w:tc>
          <w:tcPr>
            <w:tcW w:type="dxa" w:w="2448"/>
            <w:vAlign w:val="top"/>
          </w:tcPr>
          <w:p>
            <w:r>
              <w:t>Knowing When to Stop: Evaluating Bounded Agency under Goal Pressure</w:t>
            </w:r>
          </w:p>
        </w:tc>
        <w:tc>
          <w:tcPr>
            <w:tcW w:type="dxa" w:w="2448"/>
            <w:vAlign w:val="top"/>
          </w:tcPr>
          <w:p>
            <w:r>
              <w:t>Stop/defer/abstain benchmark</w:t>
            </w:r>
          </w:p>
        </w:tc>
        <w:tc>
          <w:tcPr>
            <w:tcW w:type="dxa" w:w="2448"/>
            <w:vAlign w:val="top"/>
          </w:tcPr>
          <w:p>
            <w:r>
              <w:t>High novelty and strong agent-safety relevance.</w:t>
            </w:r>
          </w:p>
        </w:tc>
      </w:tr>
      <w:tr>
        <w:tc>
          <w:tcPr>
            <w:tcW w:type="dxa" w:w="2448"/>
            <w:vAlign w:val="top"/>
          </w:tcPr>
          <w:p>
            <w:r>
              <w:t>4</w:t>
            </w:r>
          </w:p>
        </w:tc>
        <w:tc>
          <w:tcPr>
            <w:tcW w:type="dxa" w:w="2448"/>
            <w:vAlign w:val="top"/>
          </w:tcPr>
          <w:p>
            <w:r>
              <w:t>From Individual Alignment to Social Alignment: Multi-Agent Externalities and 兼爱</w:t>
            </w:r>
          </w:p>
        </w:tc>
        <w:tc>
          <w:tcPr>
            <w:tcW w:type="dxa" w:w="2448"/>
            <w:vAlign w:val="top"/>
          </w:tcPr>
          <w:p>
            <w:r>
              <w:t>Multi-agent welfare/externality evaluation</w:t>
            </w:r>
          </w:p>
        </w:tc>
        <w:tc>
          <w:tcPr>
            <w:tcW w:type="dxa" w:w="2448"/>
            <w:vAlign w:val="top"/>
          </w:tcPr>
          <w:p>
            <w:r>
              <w:t>Conceptually strong; harder experimental design.</w:t>
            </w:r>
          </w:p>
        </w:tc>
      </w:tr>
      <w:tr>
        <w:tc>
          <w:tcPr>
            <w:tcW w:type="dxa" w:w="2448"/>
            <w:vAlign w:val="top"/>
          </w:tcPr>
          <w:p>
            <w:r>
              <w:t>5</w:t>
            </w:r>
          </w:p>
        </w:tc>
        <w:tc>
          <w:tcPr>
            <w:tcW w:type="dxa" w:w="2448"/>
            <w:vAlign w:val="top"/>
          </w:tcPr>
          <w:p>
            <w:r>
              <w:t>Strategic Restraint in Autonomous Cyber Defense</w:t>
            </w:r>
          </w:p>
        </w:tc>
        <w:tc>
          <w:tcPr>
            <w:tcW w:type="dxa" w:w="2448"/>
            <w:vAlign w:val="top"/>
          </w:tcPr>
          <w:p>
            <w:r>
              <w:t>Adaptive defensive agent benchmark</w:t>
            </w:r>
          </w:p>
        </w:tc>
        <w:tc>
          <w:tcPr>
            <w:tcW w:type="dxa" w:w="2448"/>
            <w:vAlign w:val="top"/>
          </w:tcPr>
          <w:p>
            <w:r>
              <w:t>Excellent cyber fit; Sunzi framing alone is not novel.</w:t>
            </w:r>
          </w:p>
        </w:tc>
      </w:tr>
    </w:tbl>
    <w:p>
      <w:pPr>
        <w:pStyle w:val="Heading1"/>
      </w:pPr>
      <w:r>
        <w:t>10. Publication strategy and risks</w:t>
      </w:r>
    </w:p>
    <w:p>
      <w:pPr>
        <w:pStyle w:val="ListBullet"/>
      </w:pPr>
      <w:r>
        <w:t>Philosophical rigor risk: avoid treating slogans as one-line engineering analogies. Work with primary texts and at least one specialist in Chinese philosophy for concept validation.</w:t>
      </w:r>
    </w:p>
    <w:p>
      <w:pPr>
        <w:pStyle w:val="ListBullet"/>
      </w:pPr>
      <w:r>
        <w:t>Novelty risk: explicitly position against CulShield, Yamada, R-Judge, AgentHarm, alignment-faking, ChameleonBench, and agentic-misalignment work.</w:t>
      </w:r>
    </w:p>
    <w:p>
      <w:pPr>
        <w:pStyle w:val="ListBullet"/>
      </w:pPr>
      <w:r>
        <w:t>Anthropomorphism risk: measure ‘demonstrated safety knowledge’ rather than claiming access to beliefs, intentions, conscience, or genuine moral knowledge.</w:t>
      </w:r>
    </w:p>
    <w:p>
      <w:pPr>
        <w:pStyle w:val="ListBullet"/>
      </w:pPr>
      <w:r>
        <w:t>Benchmark leakage risk: use newly authored matched scenarios, hidden templates, counterfactual variants, and held-out domains.</w:t>
      </w:r>
    </w:p>
    <w:p>
      <w:pPr>
        <w:pStyle w:val="ListBullet"/>
      </w:pPr>
      <w:r>
        <w:t>Cyber dual-use risk: keep environments sandboxed and score authorization, scope control, reversibility, and least-impact behavior rather than operational offensive capability.</w:t>
      </w:r>
    </w:p>
    <w:p>
      <w:pPr>
        <w:pStyle w:val="ListBullet"/>
      </w:pPr>
      <w:r>
        <w:t>Cross-cultural risk: present Chinese philosophy as a source of theoretical constructs, not as a monolithic ‘Chinese value system’ or civilizational superiority claim.</w:t>
      </w:r>
    </w:p>
    <w:p>
      <w:pPr>
        <w:pStyle w:val="Heading1"/>
      </w:pPr>
      <w:r>
        <w:t>11. Recommended SLR expansion protocol</w:t>
      </w:r>
    </w:p>
    <w:p>
      <w:r>
        <w:t>For a publication-grade SLR, freeze a preregistered protocol and run the same Boolean families in Scopus, Web of Science, IEEE Xplore, ACM Digital Library, PhilPapers/PhilArchive, Google Scholar, ACL Anthology, arXiv, and CNKI. Deduplicate by DOI/title, perform two-reviewer title/abstract screening, record full-text exclusion reasons, and report a PRISMA flow diagram. Use backward/forward snowballing from the two Chinese-philosophy/AI edited volumes, Wong’s trustworthy-AI chapter, the Daoist AI papers, WuXing Architecture, CulShield, R-Judge, AgentHarm, alignment-faking, and agentic-misalignment papers.</w:t>
      </w:r>
    </w:p>
    <w:p>
      <w:r>
        <w:t>Suggested Boolean core: ("Chinese philosophy" OR Confucian* OR Daois* OR Taois* OR Mohis* OR Legalis* OR "Wang Yangming" OR "unity of knowledge and action" OR shendu OR zhizhi OR zhengming OR "rectification of names" OR "impartial care" OR wuwei OR "Sun Tzu" OR Wuxing) AND ("artificial intelligence" OR LLM OR "large language model" OR agent* OR alignment OR safety OR cybersecurity OR "AI ethics" OR governance).</w:t>
      </w:r>
    </w:p>
    <w:p>
      <w:r>
        <w:t>Technical-neighbor core: ("knowledge behavior gap" OR "knowledge-behavior gap" OR "knowledge action gap" OR "knowledge-action gap" OR "risk awareness" OR "evaluation awareness" OR "alignment faking" OR "agentic misalignment" OR "tool use safety" OR "agent safety") AND (LLM OR "large language model" OR "AI agent").</w:t>
      </w:r>
    </w:p>
    <w:p>
      <w:pPr>
        <w:pStyle w:val="Heading1"/>
      </w:pPr>
      <w:r>
        <w:t>12. Bottom line</w:t>
      </w:r>
    </w:p>
    <w:p>
      <w:r>
        <w:t>The evidence supports a coherent long-term research program. Chinese-philosophy-inspired AI research is no longer empty territory, but its center of gravity remains ethics, governance, and conceptual reflection. The technical frontier is operationalization. Among the candidate concepts, 知行合一 remains one of the strongest starting points precisely because adjacent 2026 work now proves the phenomenon is real while leaving open a broader, paired, agentic, causal, and intervention-oriented treatment. The strongest paper would not argue ‘Wang Yangming predicted AI safety’; it would use 知行合一 to motivate a sharper scientific construct and then let the empirical results stand independently of the philosophical inspiration.</w:t>
      </w:r>
    </w:p>
    <w:p>
      <w:pPr>
        <w:pStyle w:val="Heading1"/>
      </w:pPr>
      <w:r>
        <w:t>References</w:t>
      </w:r>
    </w:p>
    <w:p>
      <w:pPr>
        <w:spacing w:after="60"/>
      </w:pPr>
      <w:r>
        <w:t>[1] PRISMA 2020. Page et al., “The PRISMA 2020 statement: an updated guideline for reporting systematic reviews,” BMJ 372:n71 (2021). https://www.prisma-statement.org/prisma-2020</w:t>
      </w:r>
    </w:p>
    <w:p>
      <w:pPr>
        <w:spacing w:after="60"/>
      </w:pPr>
      <w:r>
        <w:t>[2] Bing Song (ed.), Intelligence and Wisdom: Artificial Intelligence Meets Chinese Philosophers, Springer (2021). https://link.springer.com/book/10.1007/978-981-16-2309-7</w:t>
      </w:r>
    </w:p>
    <w:p>
      <w:pPr>
        <w:spacing w:after="60"/>
      </w:pPr>
      <w:r>
        <w:t>[3] Levi Checketts &amp; Benedict S. B. Chan (eds.), Social and Ethical Considerations of AI in East Asia and Beyond, Springer (2025). https://link.springer.com/book/10.1007/978-3-031-77857-5</w:t>
      </w:r>
    </w:p>
    <w:p>
      <w:pPr>
        <w:spacing w:after="60"/>
      </w:pPr>
      <w:r>
        <w:t>[4] Pak-Hang Wong, “Confucian ‘Trustworthy AI’: Diversifying a Keyword in the Ethics of AI and Governance,” in Checketts &amp; Chan (2025). https://scholars.hkbu.edu.hk/en/publications/confucian-trustworthy-ai-diversifying-a-keyword-in-the-ethics-of-/</w:t>
      </w:r>
    </w:p>
    <w:p>
      <w:pPr>
        <w:spacing w:after="60"/>
      </w:pPr>
      <w:r>
        <w:t>[5] “A Daoist-Inspired Critique of AI’s Promises: Patterns, Predictions, Control,” Religions 16(10) (2025). https://www.mdpi.com/2077-1444/16/10/1247</w:t>
      </w:r>
    </w:p>
    <w:p>
      <w:pPr>
        <w:spacing w:after="60"/>
      </w:pPr>
      <w:r>
        <w:t>[6] Rehana Parveen, “Artificial Intelligence and Daoist Philosophy: Rethinking Technology, Nature, and Ethical Harmony,” Journal of Daoist Studies 19(S2) (2026). https://journalofdaoiststudies.org/index.php/journal/article/view/293</w:t>
      </w:r>
    </w:p>
    <w:p>
      <w:pPr>
        <w:spacing w:after="60"/>
      </w:pPr>
      <w:r>
        <w:t>[7] Wenju Fu, “The WuXing Architecture: Systems-Theoretic Foundations and Philosophical Principles of AI Self-Adversarial Systems,” PhilArchive manuscript (2026). https://philarchive.org/rec/FUTWAP</w:t>
      </w:r>
    </w:p>
    <w:p>
      <w:pPr>
        <w:spacing w:after="60"/>
      </w:pPr>
      <w:r>
        <w:t>[8] Wei Xu, “Artificial Intelligence Ethics: Exploration and Practice Integrating Traditional Chinese Cultural Wisdom,” IEIT 2025 proceedings. https://www.atlantis-press.com/proceedings/ieit-25/126014536</w:t>
      </w:r>
    </w:p>
    <w:p>
      <w:pPr>
        <w:spacing w:after="60"/>
      </w:pPr>
      <w:r>
        <w:t>[9] Tongxin Yuan et al., “R-Judge: Benchmarking Safety Risk Awareness for LLM Agents,” Findings of EMNLP (2024). https://aclanthology.org/2024.findings-emnlp.79/</w:t>
      </w:r>
    </w:p>
    <w:p>
      <w:pPr>
        <w:spacing w:after="60"/>
      </w:pPr>
      <w:r>
        <w:t>[10] Maksym Andriushchenko et al., “AgentHarm: A Benchmark for Measuring Harmfulness of LLM Agents,” ICLR (2025). https://proceedings.iclr.cc/paper_files/paper/2025/hash/c493d23af93118975cdbc32cbe7323f5-Abstract-Conference.html</w:t>
      </w:r>
    </w:p>
    <w:p>
      <w:pPr>
        <w:spacing w:after="60"/>
      </w:pPr>
      <w:r>
        <w:t>[11] Ryan Greenblatt et al., “Alignment Faking in Large Language Models,” arXiv:2412.14093 (2024). https://arxiv.org/abs/2412.14093</w:t>
      </w:r>
    </w:p>
    <w:p>
      <w:pPr>
        <w:spacing w:after="60"/>
      </w:pPr>
      <w:r>
        <w:t>[12] Archie Chaudhury &amp; Shikhar Shiromani, “ChameleonBench: Quantifying Alignment Faking in Large Language Models,” PMLR 304 (2025/2026 proceedings). https://proceedings.mlr.press/v304/chaudhury26a.html</w:t>
      </w:r>
    </w:p>
    <w:p>
      <w:pPr>
        <w:spacing w:after="60"/>
      </w:pPr>
      <w:r>
        <w:t>[13] Aengus Lynch et al., “Agentic Misalignment: How LLMs Could Be Insider Threats,” technical report / arXiv (2025). https://www.anthropic.com/research/agentic-misalignment</w:t>
      </w:r>
    </w:p>
    <w:p>
      <w:pPr>
        <w:spacing w:after="60"/>
      </w:pPr>
      <w:r>
        <w:t>[14] Ying He et al., “The ‘Knowledge–Behavior Gap’ in Cultural Taboo Safety of Large Language Models,” ACL (2026). https://aclanthology.org/2026.acl-long.1424/</w:t>
      </w:r>
    </w:p>
    <w:p>
      <w:pPr>
        <w:spacing w:after="60"/>
      </w:pPr>
      <w:r>
        <w:t>[15] Toru Yamada, “On the Gap Between Knowledge and Action in LLMs: A Constraint-Based Perspective,” SSRN manuscript (2026). https://papers.ssrn.com/sol3/papers.cfm?abstract_id=6536200</w:t>
      </w:r>
    </w:p>
    <w:p>
      <w:pPr>
        <w:spacing w:after="60"/>
      </w:pPr>
      <w:r>
        <w:t>[16] Edoardo Debenedetti et al., “AgentDojo: A Dynamic Environment to Evaluate Attacks and Defenses for LLM Agents.” https://github.com/ethz-spylab/agentdojo</w:t>
      </w:r>
    </w:p>
    <w:p>
      <w:pPr>
        <w:spacing w:after="60"/>
      </w:pPr>
      <w:r>
        <w:t>[17] “AI ethics with Chinese characteristics? Concerns and preferred solutions in Chinese academia,” AI &amp; Society (2022/2023), systematic review. https://link.springer.com/article/10.1007/s00146-022-01578-w</w:t>
      </w:r>
    </w:p>
    <w:p>
      <w:pPr>
        <w:spacing w:after="60"/>
      </w:pPr>
      <w:r>
        <w:t>[18] Stanford Encyclopedia of Philosophy, “Chinese Ethics” (for Mohist/Confucian conceptual background). https://plato.stanford.edu/entries/ethics-chinese/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SLR / Evidence Map — Chinese Philosophy × AI Safety × Cybersecurity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CJK S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