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CB"/>
          <w:sz w:val="46"/>
          <w:szCs w:val="46"/>
        </w:rPr>
        <w:t xml:space="preserve">ZaHeri — Claude Code Build Brief</w:t>
      </w:r>
    </w:p>
    <w:p>
      <w:pPr>
        <w:spacing w:after="180"/>
      </w:pPr>
      <w:r>
        <w:rPr>
          <w:color w:val="1A2634"/>
          <w:sz w:val="24"/>
          <w:szCs w:val="24"/>
        </w:rPr>
        <w:t xml:space="preserve">Instructions to build the app on the recommended architecture</w:t>
      </w:r>
    </w:p>
    <w:p>
      <w:pPr>
        <w:pBdr>
          <w:bottom w:val="single" w:color="D6DCE4" w:sz="6" w:space="8"/>
        </w:pBdr>
        <w:spacing w:after="160" w:line="276"/>
      </w:pPr>
      <w:r>
        <w:rPr>
          <w:color w:val="1A2634"/>
          <w:sz w:val="22"/>
          <w:szCs w:val="22"/>
        </w:rPr>
        <w:t xml:space="preserve">Paste this brief into your repo and drive Claude Code through it phase by phase. Anywhere an image, audio, or design asset is needed, or an external service must be connected, you will see a bracketed note in amber, e.g. </w:t>
      </w:r>
      <w:r>
        <w:rPr>
          <w:b/>
          <w:bCs/>
          <w:color w:val="854F0B"/>
          <w:sz w:val="20"/>
          <w:szCs w:val="20"/>
        </w:rPr>
        <w:t xml:space="preserve">  [EXTERNAL SERVICE: …]</w:t>
      </w:r>
      <w:r>
        <w:rPr>
          <w:color w:val="1A2634"/>
          <w:sz w:val="22"/>
          <w:szCs w:val="22"/>
        </w:rPr>
        <w:t xml:space="preserve">. Those are the things you supply; Claude Code builds everything around them.</w:t>
      </w:r>
    </w:p>
    <w:p>
      <w:pPr>
        <w:pStyle w:val="Heading1"/>
        <w:pBdr>
          <w:bottom w:val="single" w:color="0B6BCB" w:sz="8" w:space="4"/>
        </w:pBdr>
        <w:spacing w:after="150" w:before="340"/>
      </w:pPr>
      <w:r>
        <w:rPr>
          <w:b/>
          <w:bCs/>
          <w:color w:val="0B6BCB"/>
          <w:sz w:val="30"/>
          <w:szCs w:val="30"/>
        </w:rPr>
        <w:t xml:space="preserve">1. How to use this brief</w:t>
      </w:r>
    </w:p>
    <w:p>
      <w:pPr>
        <w:pStyle w:val="ListParagraph"/>
        <w:numPr>
          <w:ilvl w:val="0"/>
          <w:numId w:val="2"/>
        </w:numPr>
        <w:spacing w:after="90" w:line="268"/>
      </w:pPr>
      <w:r>
        <w:rPr>
          <w:b/>
          <w:bCs/>
          <w:color w:val="1A2634"/>
          <w:sz w:val="22"/>
          <w:szCs w:val="22"/>
        </w:rPr>
        <w:t xml:space="preserve">Save the conventions as CLAUDE.md. </w:t>
      </w:r>
      <w:r>
        <w:rPr>
          <w:color w:val="1A2634"/>
          <w:sz w:val="22"/>
          <w:szCs w:val="22"/>
        </w:rPr>
        <w:t xml:space="preserve">Copy Section 5 into a CLAUDE.md file at the repo root so Claude Code follows the same rules on every task.</w:t>
      </w:r>
    </w:p>
    <w:p>
      <w:pPr>
        <w:pStyle w:val="ListParagraph"/>
        <w:numPr>
          <w:ilvl w:val="0"/>
          <w:numId w:val="2"/>
        </w:numPr>
        <w:spacing w:after="90" w:line="268"/>
      </w:pPr>
      <w:r>
        <w:rPr>
          <w:b/>
          <w:bCs/>
          <w:color w:val="1A2634"/>
          <w:sz w:val="22"/>
          <w:szCs w:val="22"/>
        </w:rPr>
        <w:t xml:space="preserve">Work one phase at a time. </w:t>
      </w:r>
      <w:r>
        <w:rPr>
          <w:color w:val="1A2634"/>
          <w:sz w:val="22"/>
          <w:szCs w:val="22"/>
        </w:rPr>
        <w:t xml:space="preserve">Give Claude Code a single phase, let it finish and pass tests, review the diff, commit, then move on. Do not paste all phases at once.</w:t>
      </w:r>
    </w:p>
    <w:p>
      <w:pPr>
        <w:pStyle w:val="ListParagraph"/>
        <w:numPr>
          <w:ilvl w:val="0"/>
          <w:numId w:val="2"/>
        </w:numPr>
        <w:spacing w:after="90" w:line="268"/>
      </w:pPr>
      <w:r>
        <w:rPr>
          <w:b/>
          <w:bCs/>
          <w:color w:val="1A2634"/>
          <w:sz w:val="22"/>
          <w:szCs w:val="22"/>
        </w:rPr>
        <w:t xml:space="preserve">Review every slice. </w:t>
      </w:r>
      <w:r>
        <w:rPr>
          <w:color w:val="1A2634"/>
          <w:sz w:val="22"/>
          <w:szCs w:val="22"/>
        </w:rPr>
        <w:t xml:space="preserve">You remain the architect and reviewer — especially on the safety-critical triage and the hospital integration.</w:t>
      </w:r>
    </w:p>
    <w:p>
      <w:pPr>
        <w:pStyle w:val="ListParagraph"/>
        <w:numPr>
          <w:ilvl w:val="0"/>
          <w:numId w:val="2"/>
        </w:numPr>
        <w:spacing w:after="90" w:line="268"/>
      </w:pPr>
      <w:r>
        <w:rPr>
          <w:b/>
          <w:bCs/>
          <w:color w:val="1A2634"/>
          <w:sz w:val="22"/>
          <w:szCs w:val="22"/>
        </w:rPr>
        <w:t xml:space="preserve">Ask it to plan first. </w:t>
      </w:r>
      <w:r>
        <w:rPr>
          <w:color w:val="1A2634"/>
          <w:sz w:val="22"/>
          <w:szCs w:val="22"/>
        </w:rPr>
        <w:t xml:space="preserve">For any large step, tell it to outline its approach before editing files.</w:t>
      </w:r>
    </w:p>
    <w:p>
      <w:pPr>
        <w:pStyle w:val="ListParagraph"/>
        <w:numPr>
          <w:ilvl w:val="0"/>
          <w:numId w:val="2"/>
        </w:numPr>
        <w:spacing w:after="90" w:line="268"/>
      </w:pPr>
      <w:r>
        <w:rPr>
          <w:b/>
          <w:bCs/>
          <w:color w:val="1A2634"/>
          <w:sz w:val="22"/>
          <w:szCs w:val="22"/>
        </w:rPr>
        <w:t xml:space="preserve">Supply the bracketed items yourself. </w:t>
      </w:r>
      <w:r>
        <w:rPr>
          <w:color w:val="1A2634"/>
          <w:sz w:val="22"/>
          <w:szCs w:val="22"/>
        </w:rPr>
        <w:t xml:space="preserve">API keys, credentials, audio, and icons cannot be generated by the tool — provide them as they come up (Section 7).</w:t>
      </w:r>
    </w:p>
    <w:p>
      <w:pPr>
        <w:pStyle w:val="Heading1"/>
        <w:pBdr>
          <w:bottom w:val="single" w:color="0B6BCB" w:sz="8" w:space="4"/>
        </w:pBdr>
        <w:spacing w:after="150" w:before="340"/>
      </w:pPr>
      <w:r>
        <w:rPr>
          <w:b/>
          <w:bCs/>
          <w:color w:val="0B6BCB"/>
          <w:sz w:val="30"/>
          <w:szCs w:val="30"/>
        </w:rPr>
        <w:t xml:space="preserve">2. Project overview</w:t>
      </w:r>
    </w:p>
    <w:p>
      <w:pPr>
        <w:spacing w:after="140" w:line="276"/>
      </w:pPr>
      <w:r>
        <w:rPr>
          <w:color w:val="1A2634"/>
          <w:sz w:val="22"/>
          <w:szCs w:val="22"/>
        </w:rPr>
        <w:t xml:space="preserve">ZaHeri is a voice-first, guided patient companion for Muhimbili National Hospital. A patient scans a QR code at the ward and is guided in Swahili — by clear voice prompts and a simple touch UI, with no on-screen avatar — through registration, triage, seeing a doctor, and collecting medicine. A real doctor reviews every case; every non-emergency patient still sees a doctor in person, and emergency red flags escalate to the EMD. The doctor may order lab tests and issues a verified (QR-signed) pharmacy receipt, and a GPS locator finds the nearest pharmacy that has the medicine in stock. ZaHeri sits on top of the hospital’s GoTHOMIS system rather than replacing it.</w:t>
      </w:r>
    </w:p>
    <w:p>
      <w:pPr>
        <w:pStyle w:val="Heading1"/>
        <w:pBdr>
          <w:bottom w:val="single" w:color="0B6BCB" w:sz="8" w:space="4"/>
        </w:pBdr>
        <w:spacing w:after="150" w:before="340"/>
      </w:pPr>
      <w:r>
        <w:rPr>
          <w:b/>
          <w:bCs/>
          <w:color w:val="0B6BCB"/>
          <w:sz w:val="30"/>
          <w:szCs w:val="30"/>
        </w:rPr>
        <w:t xml:space="preserve">3. Architecture and stack</w:t>
      </w:r>
    </w:p>
    <w:p>
      <w:pPr>
        <w:spacing w:after="140" w:line="276"/>
      </w:pPr>
      <w:r>
        <w:rPr>
          <w:color w:val="1A2634"/>
          <w:sz w:val="22"/>
          <w:szCs w:val="22"/>
        </w:rPr>
        <w:t xml:space="preserve">Build to this four-tier architecture. Keep the hospital integration and all external services isolated behind clean interfaces at the edges.</w:t>
      </w:r>
    </w:p>
    <w:tbl>
      <w:tblPr>
        <w:tblW w:type="dxa" w:w="9026"/>
        <w:tblBorders>
          <w:top w:val="single" w:color="B8C4D0" w:sz="2"/>
          <w:left w:val="single" w:color="B8C4D0" w:sz="2"/>
          <w:bottom w:val="single" w:color="B8C4D0" w:sz="2"/>
          <w:right w:val="single" w:color="B8C4D0" w:sz="2"/>
          <w:insideH w:val="single" w:color="D6DCE4" w:sz="2"/>
          <w:insideV w:val="single" w:color="D6DCE4" w:sz="2"/>
        </w:tblBorders>
      </w:tblPr>
      <w:tblGrid>
        <w:gridCol w:w="1700"/>
        <w:gridCol w:w="3600"/>
        <w:gridCol w:w="3726"/>
      </w:tblGrid>
      <w:tr>
        <w:trPr>
          <w:tblHeader/>
        </w:trPr>
        <w:tc>
          <w:tcPr>
            <w:tcW w:type="dxa" w:w="1700"/>
            <w:shd w:fill="D6E4F0" w:color="auto" w:val="clear"/>
            <w:tcMar>
              <w:top w:type="dxa" w:w="60"/>
              <w:left w:type="dxa" w:w="100"/>
              <w:bottom w:type="dxa" w:w="60"/>
              <w:right w:type="dxa" w:w="100"/>
            </w:tcMar>
          </w:tcPr>
          <w:p>
            <w:r>
              <w:rPr>
                <w:b/>
                <w:bCs/>
                <w:color w:val="1A2634"/>
                <w:sz w:val="22"/>
                <w:szCs w:val="22"/>
              </w:rPr>
              <w:t xml:space="preserve">Tier</w:t>
            </w:r>
          </w:p>
        </w:tc>
        <w:tc>
          <w:tcPr>
            <w:tcW w:type="dxa" w:w="3600"/>
            <w:shd w:fill="D6E4F0" w:color="auto" w:val="clear"/>
            <w:tcMar>
              <w:top w:type="dxa" w:w="60"/>
              <w:left w:type="dxa" w:w="100"/>
              <w:bottom w:type="dxa" w:w="60"/>
              <w:right w:type="dxa" w:w="100"/>
            </w:tcMar>
          </w:tcPr>
          <w:p>
            <w:r>
              <w:rPr>
                <w:b/>
                <w:bCs/>
                <w:color w:val="1A2634"/>
                <w:sz w:val="22"/>
                <w:szCs w:val="22"/>
              </w:rPr>
              <w:t xml:space="preserve">Technology</w:t>
            </w:r>
          </w:p>
        </w:tc>
        <w:tc>
          <w:tcPr>
            <w:tcW w:type="dxa" w:w="3726"/>
            <w:shd w:fill="D6E4F0" w:color="auto" w:val="clear"/>
            <w:tcMar>
              <w:top w:type="dxa" w:w="60"/>
              <w:left w:type="dxa" w:w="100"/>
              <w:bottom w:type="dxa" w:w="60"/>
              <w:right w:type="dxa" w:w="100"/>
            </w:tcMar>
          </w:tcPr>
          <w:p>
            <w:r>
              <w:rPr>
                <w:b/>
                <w:bCs/>
                <w:color w:val="1A2634"/>
                <w:sz w:val="22"/>
                <w:szCs w:val="22"/>
              </w:rPr>
              <w:t xml:space="preserve">Responsibility</w:t>
            </w:r>
          </w:p>
        </w:tc>
      </w:tr>
      <w:tr>
        <w:tc>
          <w:tcPr>
            <w:tcW w:type="dxa" w:w="1700"/>
            <w:tcMar>
              <w:top w:type="dxa" w:w="60"/>
              <w:left w:type="dxa" w:w="100"/>
              <w:bottom w:type="dxa" w:w="60"/>
              <w:right w:type="dxa" w:w="100"/>
            </w:tcMar>
          </w:tcPr>
          <w:p>
            <w:r>
              <w:rPr>
                <w:color w:val="1A2634"/>
                <w:sz w:val="22"/>
                <w:szCs w:val="22"/>
              </w:rPr>
              <w:t xml:space="preserve">Frontend</w:t>
            </w:r>
          </w:p>
        </w:tc>
        <w:tc>
          <w:tcPr>
            <w:tcW w:type="dxa" w:w="3600"/>
            <w:tcMar>
              <w:top w:type="dxa" w:w="60"/>
              <w:left w:type="dxa" w:w="100"/>
              <w:bottom w:type="dxa" w:w="60"/>
              <w:right w:type="dxa" w:w="100"/>
            </w:tcMar>
          </w:tcPr>
          <w:p>
            <w:r>
              <w:rPr>
                <w:color w:val="1A2634"/>
                <w:sz w:val="22"/>
                <w:szCs w:val="22"/>
              </w:rPr>
              <w:t xml:space="preserve">React + TypeScript + Vite, Tailwind, vite-plugin-pwa, TanStack Query</w:t>
            </w:r>
          </w:p>
        </w:tc>
        <w:tc>
          <w:tcPr>
            <w:tcW w:type="dxa" w:w="3726"/>
            <w:tcMar>
              <w:top w:type="dxa" w:w="60"/>
              <w:left w:type="dxa" w:w="100"/>
              <w:bottom w:type="dxa" w:w="60"/>
              <w:right w:type="dxa" w:w="100"/>
            </w:tcMar>
          </w:tcPr>
          <w:p>
            <w:r>
              <w:rPr>
                <w:color w:val="1A2634"/>
                <w:sz w:val="22"/>
                <w:szCs w:val="22"/>
              </w:rPr>
              <w:t xml:space="preserve">Patient PWA (voice prompts + touch UI, SVG body diagram, GPS locator) and role-gated doctor console</w:t>
            </w:r>
          </w:p>
        </w:tc>
      </w:tr>
      <w:tr>
        <w:tc>
          <w:tcPr>
            <w:tcW w:type="dxa" w:w="1700"/>
            <w:tcMar>
              <w:top w:type="dxa" w:w="60"/>
              <w:left w:type="dxa" w:w="100"/>
              <w:bottom w:type="dxa" w:w="60"/>
              <w:right w:type="dxa" w:w="100"/>
            </w:tcMar>
          </w:tcPr>
          <w:p>
            <w:r>
              <w:rPr>
                <w:color w:val="1A2634"/>
                <w:sz w:val="22"/>
                <w:szCs w:val="22"/>
              </w:rPr>
              <w:t xml:space="preserve">Backend</w:t>
            </w:r>
          </w:p>
        </w:tc>
        <w:tc>
          <w:tcPr>
            <w:tcW w:type="dxa" w:w="3600"/>
            <w:tcMar>
              <w:top w:type="dxa" w:w="60"/>
              <w:left w:type="dxa" w:w="100"/>
              <w:bottom w:type="dxa" w:w="60"/>
              <w:right w:type="dxa" w:w="100"/>
            </w:tcMar>
          </w:tcPr>
          <w:p>
            <w:r>
              <w:rPr>
                <w:color w:val="1A2634"/>
                <w:sz w:val="22"/>
                <w:szCs w:val="22"/>
              </w:rPr>
              <w:t xml:space="preserve">Node.js + TypeScript, NestJS, Socket.IO, BullMQ</w:t>
            </w:r>
          </w:p>
        </w:tc>
        <w:tc>
          <w:tcPr>
            <w:tcW w:type="dxa" w:w="3726"/>
            <w:tcMar>
              <w:top w:type="dxa" w:w="60"/>
              <w:left w:type="dxa" w:w="100"/>
              <w:bottom w:type="dxa" w:w="60"/>
              <w:right w:type="dxa" w:w="100"/>
            </w:tcMar>
          </w:tcPr>
          <w:p>
            <w:r>
              <w:rPr>
                <w:color w:val="1A2634"/>
                <w:sz w:val="22"/>
                <w:szCs w:val="22"/>
              </w:rPr>
              <w:t xml:space="preserve">API + auth, real-time queue, background jobs, hospital / NHIF integration</w:t>
            </w:r>
          </w:p>
        </w:tc>
      </w:tr>
      <w:tr>
        <w:tc>
          <w:tcPr>
            <w:tcW w:type="dxa" w:w="1700"/>
            <w:tcMar>
              <w:top w:type="dxa" w:w="60"/>
              <w:left w:type="dxa" w:w="100"/>
              <w:bottom w:type="dxa" w:w="60"/>
              <w:right w:type="dxa" w:w="100"/>
            </w:tcMar>
          </w:tcPr>
          <w:p>
            <w:r>
              <w:rPr>
                <w:color w:val="1A2634"/>
                <w:sz w:val="22"/>
                <w:szCs w:val="22"/>
              </w:rPr>
              <w:t xml:space="preserve">Database</w:t>
            </w:r>
          </w:p>
        </w:tc>
        <w:tc>
          <w:tcPr>
            <w:tcW w:type="dxa" w:w="3600"/>
            <w:tcMar>
              <w:top w:type="dxa" w:w="60"/>
              <w:left w:type="dxa" w:w="100"/>
              <w:bottom w:type="dxa" w:w="60"/>
              <w:right w:type="dxa" w:w="100"/>
            </w:tcMar>
          </w:tcPr>
          <w:p>
            <w:r>
              <w:rPr>
                <w:color w:val="1A2634"/>
                <w:sz w:val="22"/>
                <w:szCs w:val="22"/>
              </w:rPr>
              <w:t xml:space="preserve">PostgreSQL via Prisma, Redis</w:t>
            </w:r>
          </w:p>
        </w:tc>
        <w:tc>
          <w:tcPr>
            <w:tcW w:type="dxa" w:w="3726"/>
            <w:tcMar>
              <w:top w:type="dxa" w:w="60"/>
              <w:left w:type="dxa" w:w="100"/>
              <w:bottom w:type="dxa" w:w="60"/>
              <w:right w:type="dxa" w:w="100"/>
            </w:tcMar>
          </w:tcPr>
          <w:p>
            <w:r>
              <w:rPr>
                <w:color w:val="1A2634"/>
                <w:sz w:val="22"/>
                <w:szCs w:val="22"/>
              </w:rPr>
              <w:t xml:space="preserve">Records (patients, intakes, labs, receipts); cache, queues, real-time</w:t>
            </w:r>
          </w:p>
        </w:tc>
      </w:tr>
      <w:tr>
        <w:tc>
          <w:tcPr>
            <w:tcW w:type="dxa" w:w="1700"/>
            <w:tcMar>
              <w:top w:type="dxa" w:w="60"/>
              <w:left w:type="dxa" w:w="100"/>
              <w:bottom w:type="dxa" w:w="60"/>
              <w:right w:type="dxa" w:w="100"/>
            </w:tcMar>
          </w:tcPr>
          <w:p>
            <w:r>
              <w:rPr>
                <w:color w:val="1A2634"/>
                <w:sz w:val="22"/>
                <w:szCs w:val="22"/>
              </w:rPr>
              <w:t xml:space="preserve">External</w:t>
            </w:r>
          </w:p>
        </w:tc>
        <w:tc>
          <w:tcPr>
            <w:tcW w:type="dxa" w:w="3600"/>
            <w:tcMar>
              <w:top w:type="dxa" w:w="60"/>
              <w:left w:type="dxa" w:w="100"/>
              <w:bottom w:type="dxa" w:w="60"/>
              <w:right w:type="dxa" w:w="100"/>
            </w:tcMar>
          </w:tcPr>
          <w:p>
            <w:r>
              <w:rPr>
                <w:color w:val="1A2634"/>
                <w:sz w:val="22"/>
                <w:szCs w:val="22"/>
              </w:rPr>
              <w:t xml:space="preserve">GoTHOMIS/FHIR, NHIF, PHARM.LINK, Maps, TTS, SMS/WhatsApp</w:t>
            </w:r>
          </w:p>
        </w:tc>
        <w:tc>
          <w:tcPr>
            <w:tcW w:type="dxa" w:w="3726"/>
            <w:tcMar>
              <w:top w:type="dxa" w:w="60"/>
              <w:left w:type="dxa" w:w="100"/>
              <w:bottom w:type="dxa" w:w="60"/>
              <w:right w:type="dxa" w:w="100"/>
            </w:tcMar>
          </w:tcPr>
          <w:p>
            <w:r>
              <w:rPr>
                <w:color w:val="1A2634"/>
                <w:sz w:val="22"/>
                <w:szCs w:val="22"/>
              </w:rPr>
              <w:t xml:space="preserve">Clinical source of truth, insurance, pharmacy stock/price, locator, voice, notifications</w:t>
            </w:r>
          </w:p>
        </w:tc>
      </w:tr>
    </w:tbl>
    <w:p>
      <w:pPr>
        <w:spacing w:after="80"/>
      </w:pPr>
    </w:p>
    <w:p>
      <w:pPr>
        <w:pStyle w:val="Heading1"/>
        <w:pBdr>
          <w:bottom w:val="single" w:color="0B6BCB" w:sz="8" w:space="4"/>
        </w:pBdr>
        <w:spacing w:after="150" w:before="340"/>
      </w:pPr>
      <w:r>
        <w:rPr>
          <w:b/>
          <w:bCs/>
          <w:color w:val="0B6BCB"/>
          <w:sz w:val="30"/>
          <w:szCs w:val="30"/>
        </w:rPr>
        <w:t xml:space="preserve">4. Repository structure</w:t>
      </w:r>
    </w:p>
    <w:p>
      <w:pPr>
        <w:shd w:fill="F1EFE8" w:color="auto" w:val="clear"/>
        <w:spacing w:after="0" w:line="240"/>
      </w:pPr>
      <w:r>
        <w:rPr>
          <w:rFonts w:ascii="Consolas" w:cs="Consolas" w:eastAsia="Consolas" w:hAnsi="Consolas"/>
          <w:color w:val="3B3A46"/>
          <w:sz w:val="20"/>
          <w:szCs w:val="20"/>
        </w:rPr>
        <w:t xml:space="preserve">zaheri/</w:t>
      </w:r>
    </w:p>
    <w:p>
      <w:pPr>
        <w:shd w:fill="F1EFE8" w:color="auto" w:val="clear"/>
        <w:spacing w:after="0" w:line="240"/>
      </w:pPr>
      <w:r>
        <w:rPr>
          <w:rFonts w:ascii="Consolas" w:cs="Consolas" w:eastAsia="Consolas" w:hAnsi="Consolas"/>
          <w:color w:val="3B3A46"/>
          <w:sz w:val="20"/>
          <w:szCs w:val="20"/>
        </w:rPr>
        <w:t xml:space="preserve">  apps/</w:t>
      </w:r>
    </w:p>
    <w:p>
      <w:pPr>
        <w:shd w:fill="F1EFE8" w:color="auto" w:val="clear"/>
        <w:spacing w:after="0" w:line="240"/>
      </w:pPr>
      <w:r>
        <w:rPr>
          <w:rFonts w:ascii="Consolas" w:cs="Consolas" w:eastAsia="Consolas" w:hAnsi="Consolas"/>
          <w:color w:val="3B3A46"/>
          <w:sz w:val="20"/>
          <w:szCs w:val="20"/>
        </w:rPr>
        <w:t xml:space="preserve">    web/        # React PWA: patient flow + doctor console</w:t>
      </w:r>
    </w:p>
    <w:p>
      <w:pPr>
        <w:shd w:fill="F1EFE8" w:color="auto" w:val="clear"/>
        <w:spacing w:after="0" w:line="240"/>
      </w:pPr>
      <w:r>
        <w:rPr>
          <w:rFonts w:ascii="Consolas" w:cs="Consolas" w:eastAsia="Consolas" w:hAnsi="Consolas"/>
          <w:color w:val="3B3A46"/>
          <w:sz w:val="20"/>
          <w:szCs w:val="20"/>
        </w:rPr>
        <w:t xml:space="preserve">    api/        # NestJS backend</w:t>
      </w:r>
    </w:p>
    <w:p>
      <w:pPr>
        <w:shd w:fill="F1EFE8" w:color="auto" w:val="clear"/>
        <w:spacing w:after="0" w:line="240"/>
      </w:pPr>
      <w:r>
        <w:rPr>
          <w:rFonts w:ascii="Consolas" w:cs="Consolas" w:eastAsia="Consolas" w:hAnsi="Consolas"/>
          <w:color w:val="3B3A46"/>
          <w:sz w:val="20"/>
          <w:szCs w:val="20"/>
        </w:rPr>
        <w:t xml:space="preserve">  packages/</w:t>
      </w:r>
    </w:p>
    <w:p>
      <w:pPr>
        <w:shd w:fill="F1EFE8" w:color="auto" w:val="clear"/>
        <w:spacing w:after="0" w:line="240"/>
      </w:pPr>
      <w:r>
        <w:rPr>
          <w:rFonts w:ascii="Consolas" w:cs="Consolas" w:eastAsia="Consolas" w:hAnsi="Consolas"/>
          <w:color w:val="3B3A46"/>
          <w:sz w:val="20"/>
          <w:szCs w:val="20"/>
        </w:rPr>
        <w:t xml:space="preserve">    types/      # shared DTO / API types</w:t>
      </w:r>
    </w:p>
    <w:p>
      <w:pPr>
        <w:shd w:fill="F1EFE8" w:color="auto" w:val="clear"/>
        <w:spacing w:after="0" w:line="240"/>
      </w:pPr>
      <w:r>
        <w:rPr>
          <w:rFonts w:ascii="Consolas" w:cs="Consolas" w:eastAsia="Consolas" w:hAnsi="Consolas"/>
          <w:color w:val="3B3A46"/>
          <w:sz w:val="20"/>
          <w:szCs w:val="20"/>
        </w:rPr>
        <w:t xml:space="preserve">  CLAUDE.md     # conventions (Section 5)</w:t>
      </w:r>
    </w:p>
    <w:p>
      <w:pPr>
        <w:shd w:fill="F1EFE8" w:color="auto" w:val="clear"/>
        <w:spacing w:after="0" w:line="240"/>
      </w:pPr>
      <w:r>
        <w:rPr>
          <w:rFonts w:ascii="Consolas" w:cs="Consolas" w:eastAsia="Consolas" w:hAnsi="Consolas"/>
          <w:color w:val="3B3A46"/>
          <w:sz w:val="20"/>
          <w:szCs w:val="20"/>
        </w:rPr>
        <w:t xml:space="preserve">  .env.example  # every required key, with blank values</w:t>
      </w:r>
    </w:p>
    <w:p>
      <w:pPr>
        <w:spacing w:after="80"/>
      </w:pPr>
    </w:p>
    <w:p>
      <w:pPr>
        <w:pStyle w:val="Heading1"/>
        <w:pBdr>
          <w:bottom w:val="single" w:color="0B6BCB" w:sz="8" w:space="4"/>
        </w:pBdr>
        <w:spacing w:after="150" w:before="340"/>
      </w:pPr>
      <w:r>
        <w:rPr>
          <w:b/>
          <w:bCs/>
          <w:color w:val="0B6BCB"/>
          <w:sz w:val="30"/>
          <w:szCs w:val="30"/>
        </w:rPr>
        <w:t xml:space="preserve">5. Project conventions (CLAUDE.md)</w:t>
      </w:r>
    </w:p>
    <w:p>
      <w:pPr>
        <w:pStyle w:val="ListParagraph"/>
        <w:numPr>
          <w:ilvl w:val="0"/>
          <w:numId w:val="2"/>
        </w:numPr>
        <w:spacing w:after="90" w:line="268"/>
      </w:pPr>
      <w:r>
        <w:rPr>
          <w:b/>
          <w:bCs/>
          <w:color w:val="1A2634"/>
          <w:sz w:val="22"/>
          <w:szCs w:val="22"/>
        </w:rPr>
        <w:t xml:space="preserve">Language. </w:t>
      </w:r>
      <w:r>
        <w:rPr>
          <w:color w:val="1A2634"/>
          <w:sz w:val="22"/>
          <w:szCs w:val="22"/>
        </w:rPr>
        <w:t xml:space="preserve">TypeScript strict across the monorepo. Share request/response types via packages/types.</w:t>
      </w:r>
    </w:p>
    <w:p>
      <w:pPr>
        <w:pStyle w:val="ListParagraph"/>
        <w:numPr>
          <w:ilvl w:val="0"/>
          <w:numId w:val="2"/>
        </w:numPr>
        <w:spacing w:after="90" w:line="268"/>
      </w:pPr>
      <w:r>
        <w:rPr>
          <w:b/>
          <w:bCs/>
          <w:color w:val="1A2634"/>
          <w:sz w:val="22"/>
          <w:szCs w:val="22"/>
        </w:rPr>
        <w:t xml:space="preserve">No avatar. </w:t>
      </w:r>
      <w:r>
        <w:rPr>
          <w:color w:val="1A2634"/>
          <w:sz w:val="22"/>
          <w:szCs w:val="22"/>
        </w:rPr>
        <w:t xml:space="preserve">Guidance is a clean, high-contrast, low-literacy-friendly touch UI plus Swahili voice prompts — do not build or add an animated character.</w:t>
      </w:r>
    </w:p>
    <w:p>
      <w:pPr>
        <w:pStyle w:val="ListParagraph"/>
        <w:numPr>
          <w:ilvl w:val="0"/>
          <w:numId w:val="2"/>
        </w:numPr>
        <w:spacing w:after="90" w:line="268"/>
      </w:pPr>
      <w:r>
        <w:rPr>
          <w:b/>
          <w:bCs/>
          <w:color w:val="1A2634"/>
          <w:sz w:val="22"/>
          <w:szCs w:val="22"/>
        </w:rPr>
        <w:t xml:space="preserve">Database access. </w:t>
      </w:r>
      <w:r>
        <w:rPr>
          <w:color w:val="1A2634"/>
          <w:sz w:val="22"/>
          <w:szCs w:val="22"/>
        </w:rPr>
        <w:t xml:space="preserve">All database access goes through Prisma. Never build SQL by string interpolation. Migrations are versioned and committed.</w:t>
      </w:r>
    </w:p>
    <w:p>
      <w:pPr>
        <w:pStyle w:val="ListParagraph"/>
        <w:numPr>
          <w:ilvl w:val="0"/>
          <w:numId w:val="2"/>
        </w:numPr>
        <w:spacing w:after="90" w:line="268"/>
      </w:pPr>
      <w:r>
        <w:rPr>
          <w:b/>
          <w:bCs/>
          <w:color w:val="1A2634"/>
          <w:sz w:val="22"/>
          <w:szCs w:val="22"/>
        </w:rPr>
        <w:t xml:space="preserve">Everyone sees a doctor. </w:t>
      </w:r>
      <w:r>
        <w:rPr>
          <w:color w:val="1A2634"/>
          <w:sz w:val="22"/>
          <w:szCs w:val="22"/>
        </w:rPr>
        <w:t xml:space="preserve">There is no skip-the-doctor / prescription-only path. Non-emergency patients are always routed to an in-person doctor; red flags go to the EMD.</w:t>
      </w:r>
    </w:p>
    <w:p>
      <w:pPr>
        <w:pStyle w:val="ListParagraph"/>
        <w:numPr>
          <w:ilvl w:val="0"/>
          <w:numId w:val="2"/>
        </w:numPr>
        <w:spacing w:after="90" w:line="268"/>
      </w:pPr>
      <w:r>
        <w:rPr>
          <w:b/>
          <w:bCs/>
          <w:color w:val="1A2634"/>
          <w:sz w:val="22"/>
          <w:szCs w:val="22"/>
        </w:rPr>
        <w:t xml:space="preserve">Security and patient data. </w:t>
      </w:r>
      <w:r>
        <w:rPr>
          <w:color w:val="1A2634"/>
          <w:sz w:val="22"/>
          <w:szCs w:val="22"/>
        </w:rPr>
        <w:t xml:space="preserve">Minimise stored PHI — GoTHOMIS is the source of truth. Encrypt sensitive fields at rest. Audit-log every clinician action and record access. Analytics use anonymised, aggregated data only.</w:t>
      </w:r>
    </w:p>
    <w:p>
      <w:pPr>
        <w:pStyle w:val="ListParagraph"/>
        <w:numPr>
          <w:ilvl w:val="0"/>
          <w:numId w:val="2"/>
        </w:numPr>
        <w:spacing w:after="90" w:line="268"/>
      </w:pPr>
      <w:r>
        <w:rPr>
          <w:b/>
          <w:bCs/>
          <w:color w:val="1A2634"/>
          <w:sz w:val="22"/>
          <w:szCs w:val="22"/>
        </w:rPr>
        <w:t xml:space="preserve">Secrets. </w:t>
      </w:r>
      <w:r>
        <w:rPr>
          <w:color w:val="1A2634"/>
          <w:sz w:val="22"/>
          <w:szCs w:val="22"/>
        </w:rPr>
        <w:t xml:space="preserve">Never commit secrets. Use environment variables; keep .env.example current.</w:t>
      </w:r>
    </w:p>
    <w:p>
      <w:pPr>
        <w:pStyle w:val="ListParagraph"/>
        <w:numPr>
          <w:ilvl w:val="0"/>
          <w:numId w:val="2"/>
        </w:numPr>
        <w:spacing w:after="90" w:line="268"/>
      </w:pPr>
      <w:r>
        <w:rPr>
          <w:b/>
          <w:bCs/>
          <w:color w:val="1A2634"/>
          <w:sz w:val="22"/>
          <w:szCs w:val="22"/>
        </w:rPr>
        <w:t xml:space="preserve">Testing. </w:t>
      </w:r>
      <w:r>
        <w:rPr>
          <w:color w:val="1A2634"/>
          <w:sz w:val="22"/>
          <w:szCs w:val="22"/>
        </w:rPr>
        <w:t xml:space="preserve">Unit-test decision logic (red-flag, routing, receipt verification); e2e for intake and console. Keep the suite green.</w:t>
      </w:r>
    </w:p>
    <w:p>
      <w:pPr>
        <w:pStyle w:val="ListParagraph"/>
        <w:numPr>
          <w:ilvl w:val="0"/>
          <w:numId w:val="2"/>
        </w:numPr>
        <w:spacing w:after="90" w:line="268"/>
      </w:pPr>
      <w:r>
        <w:rPr>
          <w:b/>
          <w:bCs/>
          <w:color w:val="1A2634"/>
          <w:sz w:val="22"/>
          <w:szCs w:val="22"/>
        </w:rPr>
        <w:t xml:space="preserve">Boundaries. </w:t>
      </w:r>
      <w:r>
        <w:rPr>
          <w:color w:val="1A2634"/>
          <w:sz w:val="22"/>
          <w:szCs w:val="22"/>
        </w:rPr>
        <w:t xml:space="preserve">Do not invent clinical logic or regulatory decisions; leave a marked TODO where a clinician or legal sign-off is needed. Ask before destructive actions.</w:t>
      </w:r>
    </w:p>
    <w:p>
      <w:pPr>
        <w:pStyle w:val="Heading1"/>
        <w:pBdr>
          <w:bottom w:val="single" w:color="0B6BCB" w:sz="8" w:space="4"/>
        </w:pBdr>
        <w:spacing w:after="150" w:before="340"/>
      </w:pPr>
      <w:r>
        <w:rPr>
          <w:b/>
          <w:bCs/>
          <w:color w:val="0B6BCB"/>
          <w:sz w:val="30"/>
          <w:szCs w:val="30"/>
        </w:rPr>
        <w:t xml:space="preserve">6. The build script</w:t>
      </w:r>
    </w:p>
    <w:p>
      <w:pPr>
        <w:spacing w:after="140" w:line="276"/>
      </w:pPr>
      <w:r>
        <w:rPr>
          <w:color w:val="1A2634"/>
          <w:sz w:val="22"/>
          <w:szCs w:val="22"/>
        </w:rPr>
        <w:t xml:space="preserve">Phases in order. External systems (GoTHOMIS, NHIF, PHARM.LINK) are mocked behind interfaces until their credentials exist, so the whole app can be built before any integration is live.</w:t>
      </w:r>
    </w:p>
    <w:p>
      <w:pPr>
        <w:pStyle w:val="Heading2"/>
        <w:spacing w:after="90" w:before="240"/>
      </w:pPr>
      <w:r>
        <w:rPr>
          <w:b/>
          <w:bCs/>
          <w:color w:val="1A2634"/>
          <w:sz w:val="24"/>
          <w:szCs w:val="24"/>
        </w:rPr>
        <w:t xml:space="preserve">Phase 0 — Foundations and guided intake</w:t>
      </w:r>
    </w:p>
    <w:p>
      <w:pPr>
        <w:pStyle w:val="ListParagraph"/>
        <w:numPr>
          <w:ilvl w:val="0"/>
          <w:numId w:val="3"/>
        </w:numPr>
        <w:spacing w:after="110" w:line="272"/>
      </w:pPr>
      <w:r>
        <w:rPr>
          <w:color w:val="1A2634"/>
          <w:sz w:val="22"/>
          <w:szCs w:val="22"/>
        </w:rPr>
        <w:t xml:space="preserve">Initialise the monorepo (pnpm workspaces or Turborepo) with apps/web, apps/api, packages/types. Configure TypeScript strict, ESLint, Prettier.</w:t>
      </w:r>
    </w:p>
    <w:p>
      <w:pPr>
        <w:pStyle w:val="ListParagraph"/>
        <w:numPr>
          <w:ilvl w:val="0"/>
          <w:numId w:val="3"/>
        </w:numPr>
        <w:spacing w:after="110" w:line="272"/>
      </w:pPr>
      <w:r>
        <w:rPr>
          <w:color w:val="1A2634"/>
          <w:sz w:val="22"/>
          <w:szCs w:val="22"/>
        </w:rPr>
        <w:t xml:space="preserve">Scaffold apps/web with Vite + React + TypeScript + Tailwind. Add vite-plugin-pwa (name “ZaHeri”, theme #0b6bcb, standalone) and a service worker (precache shell, network-first for API).</w:t>
      </w:r>
      <w:r>
        <w:rPr>
          <w:b/>
          <w:bCs/>
          <w:color w:val="854F0B"/>
          <w:sz w:val="20"/>
          <w:szCs w:val="20"/>
        </w:rPr>
        <w:t xml:space="preserve">  [ADD ASSET: PWA icons pwa-192x192.png and pwa-512x512.png]</w:t>
      </w:r>
    </w:p>
    <w:p>
      <w:pPr>
        <w:pStyle w:val="ListParagraph"/>
        <w:numPr>
          <w:ilvl w:val="0"/>
          <w:numId w:val="3"/>
        </w:numPr>
        <w:spacing w:after="110" w:line="272"/>
      </w:pPr>
      <w:r>
        <w:rPr>
          <w:color w:val="1A2634"/>
          <w:sz w:val="22"/>
          <w:szCs w:val="22"/>
        </w:rPr>
        <w:t xml:space="preserve">Build the guided UI shell: a clean, high-contrast, low-literacy-friendly flow with Swahili voice prompts (an audio-playback helper) — no avatar.</w:t>
      </w:r>
      <w:r>
        <w:rPr>
          <w:b/>
          <w:bCs/>
          <w:color w:val="854F0B"/>
          <w:sz w:val="20"/>
          <w:szCs w:val="20"/>
        </w:rPr>
        <w:t xml:space="preserve">  [ADD ASSET: pre-recorded Swahili voice-prompt clips for the fixed lines]</w:t>
      </w:r>
    </w:p>
    <w:p>
      <w:pPr>
        <w:pStyle w:val="ListParagraph"/>
        <w:numPr>
          <w:ilvl w:val="0"/>
          <w:numId w:val="3"/>
        </w:numPr>
        <w:spacing w:after="110" w:line="272"/>
      </w:pPr>
      <w:r>
        <w:rPr>
          <w:color w:val="1A2634"/>
          <w:sz w:val="22"/>
          <w:szCs w:val="22"/>
        </w:rPr>
        <w:t xml:space="preserve">Build the intake flow screens: (a) welcome + data-use &amp; location consent; (b) registration number; (c) ward selection; (d) “Una shida gani?” complaint; (e) body-region on a tappable SVG body diagram; (f) confirmation.</w:t>
      </w:r>
      <w:r>
        <w:rPr>
          <w:b/>
          <w:bCs/>
          <w:color w:val="854F0B"/>
          <w:sz w:val="20"/>
          <w:szCs w:val="20"/>
        </w:rPr>
        <w:t xml:space="preserve">  [ADD ASSET: SVG body-diagram component with tappable regions mapped to region codes]</w:t>
      </w:r>
    </w:p>
    <w:p>
      <w:pPr>
        <w:pStyle w:val="ListParagraph"/>
        <w:numPr>
          <w:ilvl w:val="0"/>
          <w:numId w:val="3"/>
        </w:numPr>
        <w:spacing w:after="110" w:line="272"/>
      </w:pPr>
      <w:r>
        <w:rPr>
          <w:color w:val="1A2634"/>
          <w:sz w:val="22"/>
          <w:szCs w:val="22"/>
        </w:rPr>
        <w:t xml:space="preserve">Scaffold apps/api with NestJS + Prisma on PostgreSQL.</w:t>
      </w:r>
      <w:r>
        <w:rPr>
          <w:b/>
          <w:bCs/>
          <w:color w:val="854F0B"/>
          <w:sz w:val="20"/>
          <w:szCs w:val="20"/>
        </w:rPr>
        <w:t xml:space="preserve">  [EXTERNAL SERVICE: PostgreSQL connection string — local Docker is fine for dev]</w:t>
      </w:r>
    </w:p>
    <w:p>
      <w:pPr>
        <w:pStyle w:val="ListParagraph"/>
        <w:numPr>
          <w:ilvl w:val="0"/>
          <w:numId w:val="3"/>
        </w:numPr>
        <w:spacing w:after="110" w:line="272"/>
      </w:pPr>
      <w:r>
        <w:rPr>
          <w:color w:val="1A2634"/>
          <w:sz w:val="22"/>
          <w:szCs w:val="22"/>
        </w:rPr>
        <w:t xml:space="preserve">Define an IHospitalGateway interface (lookupPatient, writeQueueEntry, readLabReport, …) with a MockHospitalGateway used until real GoTHOMIS credentials exist. Registration lookup goes through it.</w:t>
      </w:r>
    </w:p>
    <w:p>
      <w:pPr>
        <w:pStyle w:val="ListParagraph"/>
        <w:numPr>
          <w:ilvl w:val="0"/>
          <w:numId w:val="3"/>
        </w:numPr>
        <w:spacing w:after="110" w:line="272"/>
      </w:pPr>
      <w:r>
        <w:rPr>
          <w:color w:val="1A2634"/>
          <w:sz w:val="22"/>
          <w:szCs w:val="22"/>
        </w:rPr>
        <w:t xml:space="preserve">Prisma schema: Patient, Intake (registrationNumber, ward, complaint, bodyRegion, urgent, status, timestamps), placeholder User. Migrate. Build an Intake module (DTO + POST/GET endpoints), share types, wire the web submit, add a seed and an e2e test.</w:t>
      </w:r>
    </w:p>
    <w:p>
      <w:pPr>
        <w:pStyle w:val="Heading2"/>
        <w:spacing w:after="90" w:before="240"/>
      </w:pPr>
      <w:r>
        <w:rPr>
          <w:b/>
          <w:bCs/>
          <w:color w:val="1A2634"/>
          <w:sz w:val="24"/>
          <w:szCs w:val="24"/>
        </w:rPr>
        <w:t xml:space="preserve">Phase 1 — Auth, doctor console, routing, red-flag</w:t>
      </w:r>
    </w:p>
    <w:p>
      <w:pPr>
        <w:pStyle w:val="ListParagraph"/>
        <w:numPr>
          <w:ilvl w:val="0"/>
          <w:numId w:val="4"/>
        </w:numPr>
        <w:spacing w:after="110" w:line="272"/>
      </w:pPr>
      <w:r>
        <w:rPr>
          <w:color w:val="1A2634"/>
          <w:sz w:val="22"/>
          <w:szCs w:val="22"/>
        </w:rPr>
        <w:t xml:space="preserve">Add an Auth module: JWT, a Users table with a role enum (patient, clinician, admin), argon2 hashing, an RBAC guard.</w:t>
      </w:r>
    </w:p>
    <w:p>
      <w:pPr>
        <w:pStyle w:val="ListParagraph"/>
        <w:numPr>
          <w:ilvl w:val="0"/>
          <w:numId w:val="4"/>
        </w:numPr>
        <w:spacing w:after="110" w:line="272"/>
      </w:pPr>
      <w:r>
        <w:rPr>
          <w:color w:val="1A2634"/>
          <w:sz w:val="22"/>
          <w:szCs w:val="22"/>
        </w:rPr>
        <w:t xml:space="preserve">Build the doctor console (clinician-only route group): login, case list (urgent flagged), case detail with the structured intake, and routing actions.</w:t>
      </w:r>
    </w:p>
    <w:p>
      <w:pPr>
        <w:pStyle w:val="ListParagraph"/>
        <w:numPr>
          <w:ilvl w:val="0"/>
          <w:numId w:val="4"/>
        </w:numPr>
        <w:spacing w:after="110" w:line="272"/>
      </w:pPr>
      <w:r>
        <w:rPr>
          <w:color w:val="1A2634"/>
          <w:sz w:val="22"/>
          <w:szCs w:val="22"/>
        </w:rPr>
        <w:t xml:space="preserve">Add routing with only two dispositions: SEE_DOCTOR (room + queue number) and URGENT_NOW (room). There is no prescription-only path — every non-emergency patient is routed to an in-person doctor. Record who set it and when.</w:t>
      </w:r>
    </w:p>
    <w:p>
      <w:pPr>
        <w:pStyle w:val="ListParagraph"/>
        <w:numPr>
          <w:ilvl w:val="0"/>
          <w:numId w:val="4"/>
        </w:numPr>
        <w:spacing w:after="110" w:line="272"/>
      </w:pPr>
      <w:r>
        <w:rPr>
          <w:color w:val="1A2634"/>
          <w:sz w:val="22"/>
          <w:szCs w:val="22"/>
        </w:rPr>
        <w:t xml:space="preserve">Implement a red-flag engine on intake submit: match complaint + body region against a configurable list; on a match, set urgent, force URGENT_NOW to the EMD, and alert staff.</w:t>
      </w:r>
      <w:r>
        <w:rPr>
          <w:b/>
          <w:bCs/>
          <w:color w:val="854F0B"/>
          <w:sz w:val="20"/>
          <w:szCs w:val="20"/>
        </w:rPr>
        <w:t xml:space="preserve">  [CLINICAL INPUT REQUIRED: the red-flag list must be defined and signed off by a Muhimbili EMD clinician — do not invent it]</w:t>
      </w:r>
    </w:p>
    <w:p>
      <w:pPr>
        <w:pStyle w:val="ListParagraph"/>
        <w:numPr>
          <w:ilvl w:val="0"/>
          <w:numId w:val="4"/>
        </w:numPr>
        <w:spacing w:after="110" w:line="272"/>
      </w:pPr>
      <w:r>
        <w:rPr>
          <w:color w:val="1A2634"/>
          <w:sz w:val="22"/>
          <w:szCs w:val="22"/>
        </w:rPr>
        <w:t xml:space="preserve">Unit-test the red-flag engine and routing rules.</w:t>
      </w:r>
    </w:p>
    <w:p>
      <w:pPr>
        <w:pStyle w:val="Heading2"/>
        <w:spacing w:after="90" w:before="240"/>
      </w:pPr>
      <w:r>
        <w:rPr>
          <w:b/>
          <w:bCs/>
          <w:color w:val="1A2634"/>
          <w:sz w:val="24"/>
          <w:szCs w:val="24"/>
        </w:rPr>
        <w:t xml:space="preserve">Phase 2 — Digital queue and notifications</w:t>
      </w:r>
    </w:p>
    <w:p>
      <w:pPr>
        <w:pStyle w:val="ListParagraph"/>
        <w:numPr>
          <w:ilvl w:val="0"/>
          <w:numId w:val="5"/>
        </w:numPr>
        <w:spacing w:after="110" w:line="272"/>
      </w:pPr>
      <w:r>
        <w:rPr>
          <w:color w:val="1A2634"/>
          <w:sz w:val="22"/>
          <w:szCs w:val="22"/>
        </w:rPr>
        <w:t xml:space="preserve">Add a queue module that assigns queue numbers and rooms on SEE_DOCTOR, plus a Socket.IO gateway with a Redis adapter for real-time status the patient PWA subscribes to.</w:t>
      </w:r>
      <w:r>
        <w:rPr>
          <w:b/>
          <w:bCs/>
          <w:color w:val="854F0B"/>
          <w:sz w:val="20"/>
          <w:szCs w:val="20"/>
        </w:rPr>
        <w:t xml:space="preserve">  [EXTERNAL SERVICE: Redis connection — local Docker is fine for dev]</w:t>
      </w:r>
    </w:p>
    <w:p>
      <w:pPr>
        <w:pStyle w:val="ListParagraph"/>
        <w:numPr>
          <w:ilvl w:val="0"/>
          <w:numId w:val="5"/>
        </w:numPr>
        <w:spacing w:after="110" w:line="272"/>
      </w:pPr>
      <w:r>
        <w:rPr>
          <w:color w:val="1A2634"/>
          <w:sz w:val="22"/>
          <w:szCs w:val="22"/>
        </w:rPr>
        <w:t xml:space="preserve">Integrate a messaging gateway to SMS/WhatsApp the patient when their number is near, so they can wait anywhere.</w:t>
      </w:r>
      <w:r>
        <w:rPr>
          <w:b/>
          <w:bCs/>
          <w:color w:val="854F0B"/>
          <w:sz w:val="20"/>
          <w:szCs w:val="20"/>
        </w:rPr>
        <w:t xml:space="preserve">  [EXTERNAL SERVICE: SMS / WhatsApp gateway credentials — e.g. Africa’s Talking, Twilio, or WhatsApp Cloud API]</w:t>
      </w:r>
    </w:p>
    <w:p>
      <w:pPr>
        <w:pStyle w:val="ListParagraph"/>
        <w:numPr>
          <w:ilvl w:val="0"/>
          <w:numId w:val="5"/>
        </w:numPr>
        <w:spacing w:after="110" w:line="272"/>
      </w:pPr>
      <w:r>
        <w:rPr>
          <w:color w:val="1A2634"/>
          <w:sz w:val="22"/>
          <w:szCs w:val="22"/>
        </w:rPr>
        <w:t xml:space="preserve">Add BullMQ (Redis-backed) and move notifications and external calls onto background jobs.</w:t>
      </w:r>
    </w:p>
    <w:p>
      <w:pPr>
        <w:pStyle w:val="Heading2"/>
        <w:spacing w:after="90" w:before="240"/>
      </w:pPr>
      <w:r>
        <w:rPr>
          <w:b/>
          <w:bCs/>
          <w:color w:val="1A2634"/>
          <w:sz w:val="24"/>
          <w:szCs w:val="24"/>
        </w:rPr>
        <w:t xml:space="preserve">Phase 3 — Labs and verified pharmacy receipt</w:t>
      </w:r>
    </w:p>
    <w:p>
      <w:pPr>
        <w:pStyle w:val="ListParagraph"/>
        <w:numPr>
          <w:ilvl w:val="0"/>
          <w:numId w:val="6"/>
        </w:numPr>
        <w:spacing w:after="110" w:line="272"/>
      </w:pPr>
      <w:r>
        <w:rPr>
          <w:color w:val="1A2634"/>
          <w:sz w:val="22"/>
          <w:szCs w:val="22"/>
        </w:rPr>
        <w:t xml:space="preserve">Add Lab models and endpoints: the doctor orders tests (ServiceRequest) and results/reports (DiagnosticReport) read back into the record and shown to doctor and patient.</w:t>
      </w:r>
    </w:p>
    <w:p>
      <w:pPr>
        <w:pStyle w:val="ListParagraph"/>
        <w:numPr>
          <w:ilvl w:val="0"/>
          <w:numId w:val="6"/>
        </w:numPr>
        <w:spacing w:after="110" w:line="272"/>
      </w:pPr>
      <w:r>
        <w:rPr>
          <w:color w:val="1A2634"/>
          <w:sz w:val="22"/>
          <w:szCs w:val="22"/>
        </w:rPr>
        <w:t xml:space="preserve">Add the verified pharmacy receipt: the doctor issues a MedicationRequest carrying a QR / digital signature. Provide an endpoint to generate the QR receipt and a verification endpoint for the pharmacy to scan and confirm authenticity and single use.</w:t>
      </w:r>
      <w:r>
        <w:rPr>
          <w:b/>
          <w:bCs/>
          <w:color w:val="854F0B"/>
          <w:sz w:val="20"/>
          <w:szCs w:val="20"/>
        </w:rPr>
        <w:t xml:space="preserve">  [SECRET: signing key for receipt signatures — generate and store as an env secret]</w:t>
      </w:r>
    </w:p>
    <w:p>
      <w:pPr>
        <w:pStyle w:val="ListParagraph"/>
        <w:numPr>
          <w:ilvl w:val="0"/>
          <w:numId w:val="6"/>
        </w:numPr>
        <w:spacing w:after="110" w:line="272"/>
      </w:pPr>
      <w:r>
        <w:rPr>
          <w:color w:val="1A2634"/>
          <w:sz w:val="22"/>
          <w:szCs w:val="22"/>
        </w:rPr>
        <w:t xml:space="preserve">Show the QR receipt in the patient PWA.</w:t>
      </w:r>
    </w:p>
    <w:p>
      <w:pPr>
        <w:pStyle w:val="Heading2"/>
        <w:spacing w:after="90" w:before="240"/>
      </w:pPr>
      <w:r>
        <w:rPr>
          <w:b/>
          <w:bCs/>
          <w:color w:val="1A2634"/>
          <w:sz w:val="24"/>
          <w:szCs w:val="24"/>
        </w:rPr>
        <w:t xml:space="preserve">Phase 4 — GPS pharmacy locator</w:t>
      </w:r>
    </w:p>
    <w:p>
      <w:pPr>
        <w:pStyle w:val="ListParagraph"/>
        <w:numPr>
          <w:ilvl w:val="0"/>
          <w:numId w:val="7"/>
        </w:numPr>
        <w:spacing w:after="110" w:line="272"/>
      </w:pPr>
      <w:r>
        <w:rPr>
          <w:color w:val="1A2634"/>
          <w:sz w:val="22"/>
          <w:szCs w:val="22"/>
        </w:rPr>
        <w:t xml:space="preserve">Define a PharmacyStockProvider interface so pharmacy stock is pluggable. Implement only the hospital-pharmacy provider now; leave external stock (PHARM.LINK) as a future provider registered later without changing the locator — build the seam, not the integration.</w:t>
      </w:r>
      <w:r>
        <w:rPr>
          <w:b/>
          <w:bCs/>
          <w:color w:val="854F0B"/>
          <w:sz w:val="20"/>
          <w:szCs w:val="20"/>
        </w:rPr>
        <w:t xml:space="preserve">  [EXTERNAL SERVICE (future / optional): PHARM.LINK API base URL + key — add when ready]</w:t>
      </w:r>
    </w:p>
    <w:p>
      <w:pPr>
        <w:pStyle w:val="ListParagraph"/>
        <w:numPr>
          <w:ilvl w:val="0"/>
          <w:numId w:val="7"/>
        </w:numPr>
        <w:spacing w:after="110" w:line="272"/>
      </w:pPr>
      <w:r>
        <w:rPr>
          <w:color w:val="1A2634"/>
          <w:sz w:val="22"/>
          <w:szCs w:val="22"/>
        </w:rPr>
        <w:t xml:space="preserve">Build the locator UI: with location consent, show a map of nearby pharmacies that have the prescribed medicine in stock, with price and distance ranking, hospital pharmacy first, a radius filter, directions, and reserve/hold. Fall back to manual area search if location is declined.</w:t>
      </w:r>
      <w:r>
        <w:rPr>
          <w:b/>
          <w:bCs/>
          <w:color w:val="854F0B"/>
          <w:sz w:val="20"/>
          <w:szCs w:val="20"/>
        </w:rPr>
        <w:t xml:space="preserve">  [EXTERNAL SERVICE: Maps SDK key — Mapbox or Google Maps]</w:t>
      </w:r>
    </w:p>
    <w:p>
      <w:pPr>
        <w:pStyle w:val="Heading2"/>
        <w:spacing w:after="90" w:before="240"/>
      </w:pPr>
      <w:r>
        <w:rPr>
          <w:b/>
          <w:bCs/>
          <w:color w:val="1A2634"/>
          <w:sz w:val="24"/>
          <w:szCs w:val="24"/>
        </w:rPr>
        <w:t xml:space="preserve">Phase 5 — NHIF, reminders, analytics</w:t>
      </w:r>
    </w:p>
    <w:p>
      <w:pPr>
        <w:pStyle w:val="ListParagraph"/>
        <w:numPr>
          <w:ilvl w:val="0"/>
          <w:numId w:val="8"/>
        </w:numPr>
        <w:spacing w:after="110" w:line="272"/>
      </w:pPr>
      <w:r>
        <w:rPr>
          <w:color w:val="1A2634"/>
          <w:sz w:val="22"/>
          <w:szCs w:val="22"/>
        </w:rPr>
        <w:t xml:space="preserve">Add an NHIF eligibility client behind an interface (mock first): show the patient what their cover includes and support billing.</w:t>
      </w:r>
      <w:r>
        <w:rPr>
          <w:b/>
          <w:bCs/>
          <w:color w:val="854F0B"/>
          <w:sz w:val="20"/>
          <w:szCs w:val="20"/>
        </w:rPr>
        <w:t xml:space="preserve">  [EXTERNAL SERVICE: NHIF API credentials — obtain from NHIF]</w:t>
      </w:r>
    </w:p>
    <w:p>
      <w:pPr>
        <w:pStyle w:val="ListParagraph"/>
        <w:numPr>
          <w:ilvl w:val="0"/>
          <w:numId w:val="8"/>
        </w:numPr>
        <w:spacing w:after="110" w:line="272"/>
      </w:pPr>
      <w:r>
        <w:rPr>
          <w:color w:val="1A2634"/>
          <w:sz w:val="22"/>
          <w:szCs w:val="22"/>
        </w:rPr>
        <w:t xml:space="preserve">Add medication reminders: scheduled SMS reminders and a short adherence check-in via BullMQ.</w:t>
      </w:r>
    </w:p>
    <w:p>
      <w:pPr>
        <w:pStyle w:val="ListParagraph"/>
        <w:numPr>
          <w:ilvl w:val="0"/>
          <w:numId w:val="8"/>
        </w:numPr>
        <w:spacing w:after="110" w:line="272"/>
      </w:pPr>
      <w:r>
        <w:rPr>
          <w:color w:val="1A2634"/>
          <w:sz w:val="22"/>
          <w:szCs w:val="22"/>
        </w:rPr>
        <w:t xml:space="preserve">Add an admin analytics dashboard: flow metrics (wait times, bottlenecks) plus anonymised, aggregated symptom trends for early-warning surveillance. Ensure the data is aggregated and de-identified.</w:t>
      </w:r>
    </w:p>
    <w:p>
      <w:pPr>
        <w:spacing w:after="80"/>
      </w:pPr>
    </w:p>
    <w:p>
      <w:pPr>
        <w:spacing w:after="140" w:line="276"/>
      </w:pPr>
      <w:r>
        <w:rPr>
          <w:color w:val="1A2634"/>
          <w:sz w:val="22"/>
          <w:szCs w:val="22"/>
        </w:rPr>
        <w:t xml:space="preserve">Cross-cutting: replace MockHospitalGateway with a real GothomisGateway once credentials exist. [EXTERNAL SERVICE: GoTHOMIS / HL7 FHIR base URL + credentials — obtain from Muhimbili IT / MoH.]</w:t>
      </w:r>
    </w:p>
    <w:p>
      <w:pPr>
        <w:pStyle w:val="Heading1"/>
        <w:pBdr>
          <w:bottom w:val="single" w:color="0B6BCB" w:sz="8" w:space="4"/>
        </w:pBdr>
        <w:spacing w:after="150" w:before="340"/>
      </w:pPr>
      <w:r>
        <w:rPr>
          <w:b/>
          <w:bCs/>
          <w:color w:val="0B6BCB"/>
          <w:sz w:val="30"/>
          <w:szCs w:val="30"/>
        </w:rPr>
        <w:t xml:space="preserve">7. Assets and external services checklist</w:t>
      </w:r>
    </w:p>
    <w:tbl>
      <w:tblPr>
        <w:tblW w:type="dxa" w:w="9026"/>
        <w:tblBorders>
          <w:top w:val="single" w:color="B8C4D0" w:sz="2"/>
          <w:left w:val="single" w:color="B8C4D0" w:sz="2"/>
          <w:bottom w:val="single" w:color="B8C4D0" w:sz="2"/>
          <w:right w:val="single" w:color="B8C4D0" w:sz="2"/>
          <w:insideH w:val="single" w:color="D6DCE4" w:sz="2"/>
          <w:insideV w:val="single" w:color="D6DCE4" w:sz="2"/>
        </w:tblBorders>
      </w:tblPr>
      <w:tblGrid>
        <w:gridCol w:w="2500"/>
        <w:gridCol w:w="1400"/>
        <w:gridCol w:w="2400"/>
        <w:gridCol w:w="2726"/>
      </w:tblGrid>
      <w:tr>
        <w:trPr>
          <w:tblHeader/>
        </w:trPr>
        <w:tc>
          <w:tcPr>
            <w:tcW w:type="dxa" w:w="2500"/>
            <w:shd w:fill="D6E4F0" w:color="auto" w:val="clear"/>
            <w:tcMar>
              <w:top w:type="dxa" w:w="60"/>
              <w:left w:type="dxa" w:w="100"/>
              <w:bottom w:type="dxa" w:w="60"/>
              <w:right w:type="dxa" w:w="100"/>
            </w:tcMar>
          </w:tcPr>
          <w:p>
            <w:r>
              <w:rPr>
                <w:b/>
                <w:bCs/>
                <w:color w:val="1A2634"/>
                <w:sz w:val="22"/>
                <w:szCs w:val="22"/>
              </w:rPr>
              <w:t xml:space="preserve">Item</w:t>
            </w:r>
          </w:p>
        </w:tc>
        <w:tc>
          <w:tcPr>
            <w:tcW w:type="dxa" w:w="1400"/>
            <w:shd w:fill="D6E4F0" w:color="auto" w:val="clear"/>
            <w:tcMar>
              <w:top w:type="dxa" w:w="60"/>
              <w:left w:type="dxa" w:w="100"/>
              <w:bottom w:type="dxa" w:w="60"/>
              <w:right w:type="dxa" w:w="100"/>
            </w:tcMar>
          </w:tcPr>
          <w:p>
            <w:r>
              <w:rPr>
                <w:b/>
                <w:bCs/>
                <w:color w:val="1A2634"/>
                <w:sz w:val="22"/>
                <w:szCs w:val="22"/>
              </w:rPr>
              <w:t xml:space="preserve">Type</w:t>
            </w:r>
          </w:p>
        </w:tc>
        <w:tc>
          <w:tcPr>
            <w:tcW w:type="dxa" w:w="2400"/>
            <w:shd w:fill="D6E4F0" w:color="auto" w:val="clear"/>
            <w:tcMar>
              <w:top w:type="dxa" w:w="60"/>
              <w:left w:type="dxa" w:w="100"/>
              <w:bottom w:type="dxa" w:w="60"/>
              <w:right w:type="dxa" w:w="100"/>
            </w:tcMar>
          </w:tcPr>
          <w:p>
            <w:r>
              <w:rPr>
                <w:b/>
                <w:bCs/>
                <w:color w:val="1A2634"/>
                <w:sz w:val="22"/>
                <w:szCs w:val="22"/>
              </w:rPr>
              <w:t xml:space="preserve">Used in</w:t>
            </w:r>
          </w:p>
        </w:tc>
        <w:tc>
          <w:tcPr>
            <w:tcW w:type="dxa" w:w="2726"/>
            <w:shd w:fill="D6E4F0" w:color="auto" w:val="clear"/>
            <w:tcMar>
              <w:top w:type="dxa" w:w="60"/>
              <w:left w:type="dxa" w:w="100"/>
              <w:bottom w:type="dxa" w:w="60"/>
              <w:right w:type="dxa" w:w="100"/>
            </w:tcMar>
          </w:tcPr>
          <w:p>
            <w:r>
              <w:rPr>
                <w:b/>
                <w:bCs/>
                <w:color w:val="1A2634"/>
                <w:sz w:val="22"/>
                <w:szCs w:val="22"/>
              </w:rPr>
              <w:t xml:space="preserve">How to obtain</w:t>
            </w:r>
          </w:p>
        </w:tc>
      </w:tr>
      <w:tr>
        <w:tc>
          <w:tcPr>
            <w:tcW w:type="dxa" w:w="2500"/>
            <w:tcMar>
              <w:top w:type="dxa" w:w="60"/>
              <w:left w:type="dxa" w:w="100"/>
              <w:bottom w:type="dxa" w:w="60"/>
              <w:right w:type="dxa" w:w="100"/>
            </w:tcMar>
          </w:tcPr>
          <w:p>
            <w:r>
              <w:rPr>
                <w:color w:val="1A2634"/>
                <w:sz w:val="22"/>
                <w:szCs w:val="22"/>
              </w:rPr>
              <w:t xml:space="preserve">Swahili voice-prompt clips</w:t>
            </w:r>
          </w:p>
        </w:tc>
        <w:tc>
          <w:tcPr>
            <w:tcW w:type="dxa" w:w="1400"/>
            <w:tcMar>
              <w:top w:type="dxa" w:w="60"/>
              <w:left w:type="dxa" w:w="100"/>
              <w:bottom w:type="dxa" w:w="60"/>
              <w:right w:type="dxa" w:w="100"/>
            </w:tcMar>
          </w:tcPr>
          <w:p>
            <w:r>
              <w:rPr>
                <w:color w:val="1A2634"/>
                <w:sz w:val="22"/>
                <w:szCs w:val="22"/>
              </w:rPr>
              <w:t xml:space="preserve">Asset</w:t>
            </w:r>
          </w:p>
        </w:tc>
        <w:tc>
          <w:tcPr>
            <w:tcW w:type="dxa" w:w="2400"/>
            <w:tcMar>
              <w:top w:type="dxa" w:w="60"/>
              <w:left w:type="dxa" w:w="100"/>
              <w:bottom w:type="dxa" w:w="60"/>
              <w:right w:type="dxa" w:w="100"/>
            </w:tcMar>
          </w:tcPr>
          <w:p>
            <w:r>
              <w:rPr>
                <w:color w:val="1A2634"/>
                <w:sz w:val="22"/>
                <w:szCs w:val="22"/>
              </w:rPr>
              <w:t xml:space="preserve">Voice guidance</w:t>
            </w:r>
          </w:p>
        </w:tc>
        <w:tc>
          <w:tcPr>
            <w:tcW w:type="dxa" w:w="2726"/>
            <w:tcMar>
              <w:top w:type="dxa" w:w="60"/>
              <w:left w:type="dxa" w:w="100"/>
              <w:bottom w:type="dxa" w:w="60"/>
              <w:right w:type="dxa" w:w="100"/>
            </w:tcMar>
          </w:tcPr>
          <w:p>
            <w:r>
              <w:rPr>
                <w:color w:val="1A2634"/>
                <w:sz w:val="22"/>
                <w:szCs w:val="22"/>
              </w:rPr>
              <w:t xml:space="preserve">Record or generate once</w:t>
            </w:r>
          </w:p>
        </w:tc>
      </w:tr>
      <w:tr>
        <w:tc>
          <w:tcPr>
            <w:tcW w:type="dxa" w:w="2500"/>
            <w:tcMar>
              <w:top w:type="dxa" w:w="60"/>
              <w:left w:type="dxa" w:w="100"/>
              <w:bottom w:type="dxa" w:w="60"/>
              <w:right w:type="dxa" w:w="100"/>
            </w:tcMar>
          </w:tcPr>
          <w:p>
            <w:r>
              <w:rPr>
                <w:color w:val="1A2634"/>
                <w:sz w:val="22"/>
                <w:szCs w:val="22"/>
              </w:rPr>
              <w:t xml:space="preserve">PWA icons (192, 512)</w:t>
            </w:r>
          </w:p>
        </w:tc>
        <w:tc>
          <w:tcPr>
            <w:tcW w:type="dxa" w:w="1400"/>
            <w:tcMar>
              <w:top w:type="dxa" w:w="60"/>
              <w:left w:type="dxa" w:w="100"/>
              <w:bottom w:type="dxa" w:w="60"/>
              <w:right w:type="dxa" w:w="100"/>
            </w:tcMar>
          </w:tcPr>
          <w:p>
            <w:r>
              <w:rPr>
                <w:color w:val="1A2634"/>
                <w:sz w:val="22"/>
                <w:szCs w:val="22"/>
              </w:rPr>
              <w:t xml:space="preserve">Asset</w:t>
            </w:r>
          </w:p>
        </w:tc>
        <w:tc>
          <w:tcPr>
            <w:tcW w:type="dxa" w:w="2400"/>
            <w:tcMar>
              <w:top w:type="dxa" w:w="60"/>
              <w:left w:type="dxa" w:w="100"/>
              <w:bottom w:type="dxa" w:w="60"/>
              <w:right w:type="dxa" w:w="100"/>
            </w:tcMar>
          </w:tcPr>
          <w:p>
            <w:r>
              <w:rPr>
                <w:color w:val="1A2634"/>
                <w:sz w:val="22"/>
                <w:szCs w:val="22"/>
              </w:rPr>
              <w:t xml:space="preserve">Manifest</w:t>
            </w:r>
          </w:p>
        </w:tc>
        <w:tc>
          <w:tcPr>
            <w:tcW w:type="dxa" w:w="2726"/>
            <w:tcMar>
              <w:top w:type="dxa" w:w="60"/>
              <w:left w:type="dxa" w:w="100"/>
              <w:bottom w:type="dxa" w:w="60"/>
              <w:right w:type="dxa" w:w="100"/>
            </w:tcMar>
          </w:tcPr>
          <w:p>
            <w:r>
              <w:rPr>
                <w:color w:val="1A2634"/>
                <w:sz w:val="22"/>
                <w:szCs w:val="22"/>
              </w:rPr>
              <w:t xml:space="preserve">Design and export</w:t>
            </w:r>
          </w:p>
        </w:tc>
      </w:tr>
      <w:tr>
        <w:tc>
          <w:tcPr>
            <w:tcW w:type="dxa" w:w="2500"/>
            <w:tcMar>
              <w:top w:type="dxa" w:w="60"/>
              <w:left w:type="dxa" w:w="100"/>
              <w:bottom w:type="dxa" w:w="60"/>
              <w:right w:type="dxa" w:w="100"/>
            </w:tcMar>
          </w:tcPr>
          <w:p>
            <w:r>
              <w:rPr>
                <w:color w:val="1A2634"/>
                <w:sz w:val="22"/>
                <w:szCs w:val="22"/>
              </w:rPr>
              <w:t xml:space="preserve">SVG body diagram</w:t>
            </w:r>
          </w:p>
        </w:tc>
        <w:tc>
          <w:tcPr>
            <w:tcW w:type="dxa" w:w="1400"/>
            <w:tcMar>
              <w:top w:type="dxa" w:w="60"/>
              <w:left w:type="dxa" w:w="100"/>
              <w:bottom w:type="dxa" w:w="60"/>
              <w:right w:type="dxa" w:w="100"/>
            </w:tcMar>
          </w:tcPr>
          <w:p>
            <w:r>
              <w:rPr>
                <w:color w:val="1A2634"/>
                <w:sz w:val="22"/>
                <w:szCs w:val="22"/>
              </w:rPr>
              <w:t xml:space="preserve">Asset</w:t>
            </w:r>
          </w:p>
        </w:tc>
        <w:tc>
          <w:tcPr>
            <w:tcW w:type="dxa" w:w="2400"/>
            <w:tcMar>
              <w:top w:type="dxa" w:w="60"/>
              <w:left w:type="dxa" w:w="100"/>
              <w:bottom w:type="dxa" w:w="60"/>
              <w:right w:type="dxa" w:w="100"/>
            </w:tcMar>
          </w:tcPr>
          <w:p>
            <w:r>
              <w:rPr>
                <w:color w:val="1A2634"/>
                <w:sz w:val="22"/>
                <w:szCs w:val="22"/>
              </w:rPr>
              <w:t xml:space="preserve">Intake body-point</w:t>
            </w:r>
          </w:p>
        </w:tc>
        <w:tc>
          <w:tcPr>
            <w:tcW w:type="dxa" w:w="2726"/>
            <w:tcMar>
              <w:top w:type="dxa" w:w="60"/>
              <w:left w:type="dxa" w:w="100"/>
              <w:bottom w:type="dxa" w:w="60"/>
              <w:right w:type="dxa" w:w="100"/>
            </w:tcMar>
          </w:tcPr>
          <w:p>
            <w:r>
              <w:rPr>
                <w:color w:val="1A2634"/>
                <w:sz w:val="22"/>
                <w:szCs w:val="22"/>
              </w:rPr>
              <w:t xml:space="preserve">Build or commission</w:t>
            </w:r>
          </w:p>
        </w:tc>
      </w:tr>
      <w:tr>
        <w:tc>
          <w:tcPr>
            <w:tcW w:type="dxa" w:w="2500"/>
            <w:tcMar>
              <w:top w:type="dxa" w:w="60"/>
              <w:left w:type="dxa" w:w="100"/>
              <w:bottom w:type="dxa" w:w="60"/>
              <w:right w:type="dxa" w:w="100"/>
            </w:tcMar>
          </w:tcPr>
          <w:p>
            <w:r>
              <w:rPr>
                <w:color w:val="1A2634"/>
                <w:sz w:val="22"/>
                <w:szCs w:val="22"/>
              </w:rPr>
              <w:t xml:space="preserve">PostgreSQL</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API database</w:t>
            </w:r>
          </w:p>
        </w:tc>
        <w:tc>
          <w:tcPr>
            <w:tcW w:type="dxa" w:w="2726"/>
            <w:tcMar>
              <w:top w:type="dxa" w:w="60"/>
              <w:left w:type="dxa" w:w="100"/>
              <w:bottom w:type="dxa" w:w="60"/>
              <w:right w:type="dxa" w:w="100"/>
            </w:tcMar>
          </w:tcPr>
          <w:p>
            <w:r>
              <w:rPr>
                <w:color w:val="1A2634"/>
                <w:sz w:val="22"/>
                <w:szCs w:val="22"/>
              </w:rPr>
              <w:t xml:space="preserve">Local Docker or managed</w:t>
            </w:r>
          </w:p>
        </w:tc>
      </w:tr>
      <w:tr>
        <w:tc>
          <w:tcPr>
            <w:tcW w:type="dxa" w:w="2500"/>
            <w:tcMar>
              <w:top w:type="dxa" w:w="60"/>
              <w:left w:type="dxa" w:w="100"/>
              <w:bottom w:type="dxa" w:w="60"/>
              <w:right w:type="dxa" w:w="100"/>
            </w:tcMar>
          </w:tcPr>
          <w:p>
            <w:r>
              <w:rPr>
                <w:color w:val="1A2634"/>
                <w:sz w:val="22"/>
                <w:szCs w:val="22"/>
              </w:rPr>
              <w:t xml:space="preserve">Redis</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Queue, real-time, jobs</w:t>
            </w:r>
          </w:p>
        </w:tc>
        <w:tc>
          <w:tcPr>
            <w:tcW w:type="dxa" w:w="2726"/>
            <w:tcMar>
              <w:top w:type="dxa" w:w="60"/>
              <w:left w:type="dxa" w:w="100"/>
              <w:bottom w:type="dxa" w:w="60"/>
              <w:right w:type="dxa" w:w="100"/>
            </w:tcMar>
          </w:tcPr>
          <w:p>
            <w:r>
              <w:rPr>
                <w:color w:val="1A2634"/>
                <w:sz w:val="22"/>
                <w:szCs w:val="22"/>
              </w:rPr>
              <w:t xml:space="preserve">Local Docker or managed</w:t>
            </w:r>
          </w:p>
        </w:tc>
      </w:tr>
      <w:tr>
        <w:tc>
          <w:tcPr>
            <w:tcW w:type="dxa" w:w="2500"/>
            <w:tcMar>
              <w:top w:type="dxa" w:w="60"/>
              <w:left w:type="dxa" w:w="100"/>
              <w:bottom w:type="dxa" w:w="60"/>
              <w:right w:type="dxa" w:w="100"/>
            </w:tcMar>
          </w:tcPr>
          <w:p>
            <w:r>
              <w:rPr>
                <w:color w:val="1A2634"/>
                <w:sz w:val="22"/>
                <w:szCs w:val="22"/>
              </w:rPr>
              <w:t xml:space="preserve">SMS / WhatsApp gateway</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Queue alerts, reminders</w:t>
            </w:r>
          </w:p>
        </w:tc>
        <w:tc>
          <w:tcPr>
            <w:tcW w:type="dxa" w:w="2726"/>
            <w:tcMar>
              <w:top w:type="dxa" w:w="60"/>
              <w:left w:type="dxa" w:w="100"/>
              <w:bottom w:type="dxa" w:w="60"/>
              <w:right w:type="dxa" w:w="100"/>
            </w:tcMar>
          </w:tcPr>
          <w:p>
            <w:r>
              <w:rPr>
                <w:color w:val="1A2634"/>
                <w:sz w:val="22"/>
                <w:szCs w:val="22"/>
              </w:rPr>
              <w:t xml:space="preserve">Africa’s Talking / Twilio / Meta</w:t>
            </w:r>
          </w:p>
        </w:tc>
      </w:tr>
      <w:tr>
        <w:tc>
          <w:tcPr>
            <w:tcW w:type="dxa" w:w="2500"/>
            <w:tcMar>
              <w:top w:type="dxa" w:w="60"/>
              <w:left w:type="dxa" w:w="100"/>
              <w:bottom w:type="dxa" w:w="60"/>
              <w:right w:type="dxa" w:w="100"/>
            </w:tcMar>
          </w:tcPr>
          <w:p>
            <w:r>
              <w:rPr>
                <w:color w:val="1A2634"/>
                <w:sz w:val="22"/>
                <w:szCs w:val="22"/>
              </w:rPr>
              <w:t xml:space="preserve">Receipt signing key</w:t>
            </w:r>
          </w:p>
        </w:tc>
        <w:tc>
          <w:tcPr>
            <w:tcW w:type="dxa" w:w="1400"/>
            <w:tcMar>
              <w:top w:type="dxa" w:w="60"/>
              <w:left w:type="dxa" w:w="100"/>
              <w:bottom w:type="dxa" w:w="60"/>
              <w:right w:type="dxa" w:w="100"/>
            </w:tcMar>
          </w:tcPr>
          <w:p>
            <w:r>
              <w:rPr>
                <w:color w:val="1A2634"/>
                <w:sz w:val="22"/>
                <w:szCs w:val="22"/>
              </w:rPr>
              <w:t xml:space="preserve">Secret</w:t>
            </w:r>
          </w:p>
        </w:tc>
        <w:tc>
          <w:tcPr>
            <w:tcW w:type="dxa" w:w="2400"/>
            <w:tcMar>
              <w:top w:type="dxa" w:w="60"/>
              <w:left w:type="dxa" w:w="100"/>
              <w:bottom w:type="dxa" w:w="60"/>
              <w:right w:type="dxa" w:w="100"/>
            </w:tcMar>
          </w:tcPr>
          <w:p>
            <w:r>
              <w:rPr>
                <w:color w:val="1A2634"/>
                <w:sz w:val="22"/>
                <w:szCs w:val="22"/>
              </w:rPr>
              <w:t xml:space="preserve">Verified prescription</w:t>
            </w:r>
          </w:p>
        </w:tc>
        <w:tc>
          <w:tcPr>
            <w:tcW w:type="dxa" w:w="2726"/>
            <w:tcMar>
              <w:top w:type="dxa" w:w="60"/>
              <w:left w:type="dxa" w:w="100"/>
              <w:bottom w:type="dxa" w:w="60"/>
              <w:right w:type="dxa" w:w="100"/>
            </w:tcMar>
          </w:tcPr>
          <w:p>
            <w:r>
              <w:rPr>
                <w:color w:val="1A2634"/>
                <w:sz w:val="22"/>
                <w:szCs w:val="22"/>
              </w:rPr>
              <w:t xml:space="preserve">Generate</w:t>
            </w:r>
          </w:p>
        </w:tc>
      </w:tr>
      <w:tr>
        <w:tc>
          <w:tcPr>
            <w:tcW w:type="dxa" w:w="2500"/>
            <w:tcMar>
              <w:top w:type="dxa" w:w="60"/>
              <w:left w:type="dxa" w:w="100"/>
              <w:bottom w:type="dxa" w:w="60"/>
              <w:right w:type="dxa" w:w="100"/>
            </w:tcMar>
          </w:tcPr>
          <w:p>
            <w:r>
              <w:rPr>
                <w:color w:val="1A2634"/>
                <w:sz w:val="22"/>
                <w:szCs w:val="22"/>
              </w:rPr>
              <w:t xml:space="preserve">Maps SDK key</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GPS pharmacy locator</w:t>
            </w:r>
          </w:p>
        </w:tc>
        <w:tc>
          <w:tcPr>
            <w:tcW w:type="dxa" w:w="2726"/>
            <w:tcMar>
              <w:top w:type="dxa" w:w="60"/>
              <w:left w:type="dxa" w:w="100"/>
              <w:bottom w:type="dxa" w:w="60"/>
              <w:right w:type="dxa" w:w="100"/>
            </w:tcMar>
          </w:tcPr>
          <w:p>
            <w:r>
              <w:rPr>
                <w:color w:val="1A2634"/>
                <w:sz w:val="22"/>
                <w:szCs w:val="22"/>
              </w:rPr>
              <w:t xml:space="preserve">Mapbox or Google</w:t>
            </w:r>
          </w:p>
        </w:tc>
      </w:tr>
      <w:tr>
        <w:tc>
          <w:tcPr>
            <w:tcW w:type="dxa" w:w="2500"/>
            <w:tcMar>
              <w:top w:type="dxa" w:w="60"/>
              <w:left w:type="dxa" w:w="100"/>
              <w:bottom w:type="dxa" w:w="60"/>
              <w:right w:type="dxa" w:w="100"/>
            </w:tcMar>
          </w:tcPr>
          <w:p>
            <w:r>
              <w:rPr>
                <w:color w:val="1A2634"/>
                <w:sz w:val="22"/>
                <w:szCs w:val="22"/>
              </w:rPr>
              <w:t xml:space="preserve">GoTHOMIS / FHIR credentials</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Hospital integration</w:t>
            </w:r>
          </w:p>
        </w:tc>
        <w:tc>
          <w:tcPr>
            <w:tcW w:type="dxa" w:w="2726"/>
            <w:tcMar>
              <w:top w:type="dxa" w:w="60"/>
              <w:left w:type="dxa" w:w="100"/>
              <w:bottom w:type="dxa" w:w="60"/>
              <w:right w:type="dxa" w:w="100"/>
            </w:tcMar>
          </w:tcPr>
          <w:p>
            <w:r>
              <w:rPr>
                <w:color w:val="1A2634"/>
                <w:sz w:val="22"/>
                <w:szCs w:val="22"/>
              </w:rPr>
              <w:t xml:space="preserve">Muhimbili IT / MoH</w:t>
            </w:r>
          </w:p>
        </w:tc>
      </w:tr>
      <w:tr>
        <w:tc>
          <w:tcPr>
            <w:tcW w:type="dxa" w:w="2500"/>
            <w:tcMar>
              <w:top w:type="dxa" w:w="60"/>
              <w:left w:type="dxa" w:w="100"/>
              <w:bottom w:type="dxa" w:w="60"/>
              <w:right w:type="dxa" w:w="100"/>
            </w:tcMar>
          </w:tcPr>
          <w:p>
            <w:r>
              <w:rPr>
                <w:color w:val="1A2634"/>
                <w:sz w:val="22"/>
                <w:szCs w:val="22"/>
              </w:rPr>
              <w:t xml:space="preserve">NHIF API credentials</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Insurance check</w:t>
            </w:r>
          </w:p>
        </w:tc>
        <w:tc>
          <w:tcPr>
            <w:tcW w:type="dxa" w:w="2726"/>
            <w:tcMar>
              <w:top w:type="dxa" w:w="60"/>
              <w:left w:type="dxa" w:w="100"/>
              <w:bottom w:type="dxa" w:w="60"/>
              <w:right w:type="dxa" w:w="100"/>
            </w:tcMar>
          </w:tcPr>
          <w:p>
            <w:r>
              <w:rPr>
                <w:color w:val="1A2634"/>
                <w:sz w:val="22"/>
                <w:szCs w:val="22"/>
              </w:rPr>
              <w:t xml:space="preserve">NHIF</w:t>
            </w:r>
          </w:p>
        </w:tc>
      </w:tr>
      <w:tr>
        <w:tc>
          <w:tcPr>
            <w:tcW w:type="dxa" w:w="2500"/>
            <w:tcMar>
              <w:top w:type="dxa" w:w="60"/>
              <w:left w:type="dxa" w:w="100"/>
              <w:bottom w:type="dxa" w:w="60"/>
              <w:right w:type="dxa" w:w="100"/>
            </w:tcMar>
          </w:tcPr>
          <w:p>
            <w:r>
              <w:rPr>
                <w:color w:val="1A2634"/>
                <w:sz w:val="22"/>
                <w:szCs w:val="22"/>
              </w:rPr>
              <w:t xml:space="preserve">PHARM.LINK API (future)</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External stock / price</w:t>
            </w:r>
          </w:p>
        </w:tc>
        <w:tc>
          <w:tcPr>
            <w:tcW w:type="dxa" w:w="2726"/>
            <w:tcMar>
              <w:top w:type="dxa" w:w="60"/>
              <w:left w:type="dxa" w:w="100"/>
              <w:bottom w:type="dxa" w:w="60"/>
              <w:right w:type="dxa" w:w="100"/>
            </w:tcMar>
          </w:tcPr>
          <w:p>
            <w:r>
              <w:rPr>
                <w:color w:val="1A2634"/>
                <w:sz w:val="22"/>
                <w:szCs w:val="22"/>
              </w:rPr>
              <w:t xml:space="preserve">Add later — pluggable provider</w:t>
            </w:r>
          </w:p>
        </w:tc>
      </w:tr>
      <w:tr>
        <w:tc>
          <w:tcPr>
            <w:tcW w:type="dxa" w:w="2500"/>
            <w:tcMar>
              <w:top w:type="dxa" w:w="60"/>
              <w:left w:type="dxa" w:w="100"/>
              <w:bottom w:type="dxa" w:w="60"/>
              <w:right w:type="dxa" w:w="100"/>
            </w:tcMar>
          </w:tcPr>
          <w:p>
            <w:r>
              <w:rPr>
                <w:color w:val="1A2634"/>
                <w:sz w:val="22"/>
                <w:szCs w:val="22"/>
              </w:rPr>
              <w:t xml:space="preserve">TTS API key</w:t>
            </w:r>
          </w:p>
        </w:tc>
        <w:tc>
          <w:tcPr>
            <w:tcW w:type="dxa" w:w="1400"/>
            <w:tcMar>
              <w:top w:type="dxa" w:w="60"/>
              <w:left w:type="dxa" w:w="100"/>
              <w:bottom w:type="dxa" w:w="60"/>
              <w:right w:type="dxa" w:w="100"/>
            </w:tcMar>
          </w:tcPr>
          <w:p>
            <w:r>
              <w:rPr>
                <w:color w:val="1A2634"/>
                <w:sz w:val="22"/>
                <w:szCs w:val="22"/>
              </w:rPr>
              <w:t xml:space="preserve">Service</w:t>
            </w:r>
          </w:p>
        </w:tc>
        <w:tc>
          <w:tcPr>
            <w:tcW w:type="dxa" w:w="2400"/>
            <w:tcMar>
              <w:top w:type="dxa" w:w="60"/>
              <w:left w:type="dxa" w:w="100"/>
              <w:bottom w:type="dxa" w:w="60"/>
              <w:right w:type="dxa" w:w="100"/>
            </w:tcMar>
          </w:tcPr>
          <w:p>
            <w:r>
              <w:rPr>
                <w:color w:val="1A2634"/>
                <w:sz w:val="22"/>
                <w:szCs w:val="22"/>
              </w:rPr>
              <w:t xml:space="preserve">Dynamic voice</w:t>
            </w:r>
          </w:p>
        </w:tc>
        <w:tc>
          <w:tcPr>
            <w:tcW w:type="dxa" w:w="2726"/>
            <w:tcMar>
              <w:top w:type="dxa" w:w="60"/>
              <w:left w:type="dxa" w:w="100"/>
              <w:bottom w:type="dxa" w:w="60"/>
              <w:right w:type="dxa" w:w="100"/>
            </w:tcMar>
          </w:tcPr>
          <w:p>
            <w:r>
              <w:rPr>
                <w:color w:val="1A2634"/>
                <w:sz w:val="22"/>
                <w:szCs w:val="22"/>
              </w:rPr>
              <w:t xml:space="preserve">ElevenLabs or Soniox</w:t>
            </w:r>
          </w:p>
        </w:tc>
      </w:tr>
    </w:tbl>
    <w:p>
      <w:pPr>
        <w:spacing w:after="80"/>
      </w:pPr>
    </w:p>
    <w:p>
      <w:pPr>
        <w:pStyle w:val="Heading1"/>
        <w:pBdr>
          <w:bottom w:val="single" w:color="0B6BCB" w:sz="8" w:space="4"/>
        </w:pBdr>
        <w:spacing w:after="150" w:before="340"/>
      </w:pPr>
      <w:r>
        <w:rPr>
          <w:b/>
          <w:bCs/>
          <w:color w:val="0B6BCB"/>
          <w:sz w:val="30"/>
          <w:szCs w:val="30"/>
        </w:rPr>
        <w:t xml:space="preserve">8. Guardrails for Claude Code</w:t>
      </w:r>
    </w:p>
    <w:p>
      <w:pPr>
        <w:pStyle w:val="ListParagraph"/>
        <w:numPr>
          <w:ilvl w:val="0"/>
          <w:numId w:val="2"/>
        </w:numPr>
        <w:spacing w:after="90" w:line="268"/>
      </w:pPr>
      <w:r>
        <w:rPr>
          <w:b/>
          <w:bCs/>
          <w:color w:val="1A2634"/>
          <w:sz w:val="22"/>
          <w:szCs w:val="22"/>
        </w:rPr>
        <w:t xml:space="preserve">Keep clinical decisions human. </w:t>
      </w:r>
      <w:r>
        <w:rPr>
          <w:color w:val="1A2634"/>
          <w:sz w:val="22"/>
          <w:szCs w:val="22"/>
        </w:rPr>
        <w:t xml:space="preserve">Implement the red-flag list and routing rules, but their content comes from a clinician.</w:t>
      </w:r>
    </w:p>
    <w:p>
      <w:pPr>
        <w:pStyle w:val="ListParagraph"/>
        <w:numPr>
          <w:ilvl w:val="0"/>
          <w:numId w:val="2"/>
        </w:numPr>
        <w:spacing w:after="90" w:line="268"/>
      </w:pPr>
      <w:r>
        <w:rPr>
          <w:b/>
          <w:bCs/>
          <w:color w:val="1A2634"/>
          <w:sz w:val="22"/>
          <w:szCs w:val="22"/>
        </w:rPr>
        <w:t xml:space="preserve">Everyone sees a doctor. </w:t>
      </w:r>
      <w:r>
        <w:rPr>
          <w:color w:val="1A2634"/>
          <w:sz w:val="22"/>
          <w:szCs w:val="22"/>
        </w:rPr>
        <w:t xml:space="preserve">Never build a path that gives a patient medicine without an in-person doctor visit.</w:t>
      </w:r>
    </w:p>
    <w:p>
      <w:pPr>
        <w:pStyle w:val="ListParagraph"/>
        <w:numPr>
          <w:ilvl w:val="0"/>
          <w:numId w:val="2"/>
        </w:numPr>
        <w:spacing w:after="90" w:line="268"/>
      </w:pPr>
      <w:r>
        <w:rPr>
          <w:b/>
          <w:bCs/>
          <w:color w:val="1A2634"/>
          <w:sz w:val="22"/>
          <w:szCs w:val="22"/>
        </w:rPr>
        <w:t xml:space="preserve">Isolate external systems. </w:t>
      </w:r>
      <w:r>
        <w:rPr>
          <w:color w:val="1A2634"/>
          <w:sz w:val="22"/>
          <w:szCs w:val="22"/>
        </w:rPr>
        <w:t xml:space="preserve">GoTHOMIS, NHIF, and PHARM.LINK all sit behind interfaces, mocked until real credentials exist.</w:t>
      </w:r>
    </w:p>
    <w:p>
      <w:pPr>
        <w:pStyle w:val="ListParagraph"/>
        <w:numPr>
          <w:ilvl w:val="0"/>
          <w:numId w:val="2"/>
        </w:numPr>
        <w:spacing w:after="90" w:line="268"/>
      </w:pPr>
      <w:r>
        <w:rPr>
          <w:b/>
          <w:bCs/>
          <w:color w:val="1A2634"/>
          <w:sz w:val="22"/>
          <w:szCs w:val="22"/>
        </w:rPr>
        <w:t xml:space="preserve">Trust only verified receipts. </w:t>
      </w:r>
      <w:r>
        <w:rPr>
          <w:color w:val="1A2634"/>
          <w:sz w:val="22"/>
          <w:szCs w:val="22"/>
        </w:rPr>
        <w:t xml:space="preserve">Enforce signature verification and single use; never honour an unsigned or reused receipt.</w:t>
      </w:r>
    </w:p>
    <w:p>
      <w:pPr>
        <w:pStyle w:val="ListParagraph"/>
        <w:numPr>
          <w:ilvl w:val="0"/>
          <w:numId w:val="2"/>
        </w:numPr>
        <w:spacing w:after="90" w:line="268"/>
      </w:pPr>
      <w:r>
        <w:rPr>
          <w:b/>
          <w:bCs/>
          <w:color w:val="1A2634"/>
          <w:sz w:val="22"/>
          <w:szCs w:val="22"/>
        </w:rPr>
        <w:t xml:space="preserve">Protect patient data. </w:t>
      </w:r>
      <w:r>
        <w:rPr>
          <w:color w:val="1A2634"/>
          <w:sz w:val="22"/>
          <w:szCs w:val="22"/>
        </w:rPr>
        <w:t xml:space="preserve">Minimise stored PHI and location; encrypt sensitive fields; audit-log access; keep analytics anonymised and aggregated.</w:t>
      </w:r>
    </w:p>
    <w:p>
      <w:pPr>
        <w:pStyle w:val="ListParagraph"/>
        <w:numPr>
          <w:ilvl w:val="0"/>
          <w:numId w:val="2"/>
        </w:numPr>
        <w:spacing w:after="90" w:line="268"/>
      </w:pPr>
      <w:r>
        <w:rPr>
          <w:b/>
          <w:bCs/>
          <w:color w:val="1A2634"/>
          <w:sz w:val="22"/>
          <w:szCs w:val="22"/>
        </w:rPr>
        <w:t xml:space="preserve">Stop at the unknowns. </w:t>
      </w:r>
      <w:r>
        <w:rPr>
          <w:color w:val="1A2634"/>
          <w:sz w:val="22"/>
          <w:szCs w:val="22"/>
        </w:rPr>
        <w:t xml:space="preserve">When a field mapping, credential, or clinical rule is missing, leave a marked TODO and continue against the mock.</w:t>
      </w:r>
    </w:p>
    <w:p>
      <w:pPr>
        <w:pStyle w:val="Heading1"/>
        <w:pBdr>
          <w:bottom w:val="single" w:color="0B6BCB" w:sz="8" w:space="4"/>
        </w:pBdr>
        <w:spacing w:after="150" w:before="340"/>
      </w:pPr>
      <w:r>
        <w:rPr>
          <w:b/>
          <w:bCs/>
          <w:color w:val="0B6BCB"/>
          <w:sz w:val="30"/>
          <w:szCs w:val="30"/>
        </w:rPr>
        <w:t xml:space="preserve">9. Definition of done (per phase)</w:t>
      </w:r>
    </w:p>
    <w:p>
      <w:pPr>
        <w:pStyle w:val="ListParagraph"/>
        <w:numPr>
          <w:ilvl w:val="0"/>
          <w:numId w:val="9"/>
        </w:numPr>
        <w:spacing w:after="110" w:line="272"/>
      </w:pPr>
      <w:r>
        <w:rPr>
          <w:color w:val="1A2634"/>
          <w:sz w:val="22"/>
          <w:szCs w:val="22"/>
        </w:rPr>
        <w:t xml:space="preserve">The phase’s features work end to end against mocks where external systems aren’t connected yet.</w:t>
      </w:r>
    </w:p>
    <w:p>
      <w:pPr>
        <w:pStyle w:val="ListParagraph"/>
        <w:numPr>
          <w:ilvl w:val="0"/>
          <w:numId w:val="9"/>
        </w:numPr>
        <w:spacing w:after="110" w:line="272"/>
      </w:pPr>
      <w:r>
        <w:rPr>
          <w:color w:val="1A2634"/>
          <w:sz w:val="22"/>
          <w:szCs w:val="22"/>
        </w:rPr>
        <w:t xml:space="preserve">Unit and e2e tests for the phase pass, and the existing suite stays green.</w:t>
      </w:r>
    </w:p>
    <w:p>
      <w:pPr>
        <w:pStyle w:val="ListParagraph"/>
        <w:numPr>
          <w:ilvl w:val="0"/>
          <w:numId w:val="9"/>
        </w:numPr>
        <w:spacing w:after="110" w:line="272"/>
      </w:pPr>
      <w:r>
        <w:rPr>
          <w:color w:val="1A2634"/>
          <w:sz w:val="22"/>
          <w:szCs w:val="22"/>
        </w:rPr>
        <w:t xml:space="preserve">No secrets committed; .env.example updated with any new keys.</w:t>
      </w:r>
    </w:p>
    <w:p>
      <w:pPr>
        <w:pStyle w:val="ListParagraph"/>
        <w:numPr>
          <w:ilvl w:val="0"/>
          <w:numId w:val="9"/>
        </w:numPr>
        <w:spacing w:after="110" w:line="272"/>
      </w:pPr>
      <w:r>
        <w:rPr>
          <w:color w:val="1A2634"/>
          <w:sz w:val="22"/>
          <w:szCs w:val="22"/>
        </w:rPr>
        <w:t xml:space="preserve">Every bracketed item for the phase is supplied or left as a clearly marked TODO with a mock in place.</w:t>
      </w:r>
    </w:p>
    <w:p>
      <w:pPr>
        <w:pStyle w:val="ListParagraph"/>
        <w:numPr>
          <w:ilvl w:val="0"/>
          <w:numId w:val="9"/>
        </w:numPr>
        <w:spacing w:after="110" w:line="272"/>
      </w:pPr>
      <w:r>
        <w:rPr>
          <w:color w:val="1A2634"/>
          <w:sz w:val="22"/>
          <w:szCs w:val="22"/>
        </w:rPr>
        <w:t xml:space="preserve">You have reviewed the diff and committed before starting the next phase.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abstractNum w:abstractNumId="8" w15:restartNumberingAfterBreak="0">
    <w:multiLevelType w:val="hybridMultilevel"/>
    <w:lvl w:ilvl="0" w15:tentative="1">
      <w:start w:val="1"/>
      <w:numFmt w:val="decimal"/>
      <w:lvlText w:val="%1."/>
      <w:lvlJc w:val="left"/>
      <w:pPr>
        <w:ind w:left="420" w:hanging="240"/>
      </w:pPr>
    </w:lvl>
  </w:abstractNum>
  <w:abstractNum w:abstractNumId="9"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2026-08-31T15:24:23.864Z</dcterms:created>
  <dcterms:modified xsi:type="dcterms:W3CDTF">2026-08-31T15:24:23.878Z</dcterms:modified>
</cp:coreProperties>
</file>

<file path=docProps/custom.xml><?xml version="1.0" encoding="utf-8"?>
<Properties xmlns="http://schemas.openxmlformats.org/officeDocument/2006/custom-properties" xmlns:vt="http://schemas.openxmlformats.org/officeDocument/2006/docPropsVTypes"/>
</file>