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Risk Assessment Report</w:t>
      </w:r>
    </w:p>
    <w:p>
      <w:pPr>
        <w:pStyle w:val="Heading2"/>
      </w:pPr>
      <w:r>
        <w:t>1. Executive Summary</w:t>
      </w:r>
    </w:p>
    <w:p>
      <w:r>
        <w:t>This report summarizes the results of a third-party risk assessment conducted for CloudSecure LMS. The assessment evaluated the vendor’s technical, administrative, and compliance controls across 22 areas. The average risk score was 1.41, resulting in a final risk tier classification of Low Risk.</w:t>
      </w:r>
    </w:p>
    <w:p>
      <w:pPr>
        <w:pStyle w:val="Heading2"/>
      </w:pPr>
      <w:r>
        <w:t>2. Vendor Profile</w:t>
      </w:r>
    </w:p>
    <w:p>
      <w:r>
        <w:t>Vendor Name: CloudSecure LMS</w:t>
        <w:br/>
        <w:t>Industry: Cloud-based Learning Management System (LMS)</w:t>
        <w:br/>
        <w:t>Primary Services: Course hosting, user authentication, content delivery</w:t>
        <w:br/>
        <w:t>Assessment Date: December 31, 2025</w:t>
        <w:br/>
        <w:t>Assessed By: Tiffany Christman</w:t>
      </w:r>
    </w:p>
    <w:p>
      <w:pPr>
        <w:pStyle w:val="Heading2"/>
      </w:pPr>
      <w:r>
        <w:t>3. Assessment Findings</w:t>
      </w:r>
    </w:p>
    <w:p>
      <w:r>
        <w:t>The vendor demonstrates a solid foundational security posture, with controls in place for encryption, backups, MFA, incident response, and access management. Moderate risks were identified in the following areas:</w:t>
        <w:br/>
        <w:br/>
        <w:t>- SOC 2 Type II is in progress, not yet completed.</w:t>
        <w:br/>
        <w:t>- HIPAA compliance controls are only partially implemented.</w:t>
        <w:br/>
        <w:t>- No intrusion prevention system (IPS) in place.</w:t>
        <w:br/>
      </w:r>
    </w:p>
    <w:p>
      <w:pPr>
        <w:pStyle w:val="Heading2"/>
      </w:pPr>
      <w:r>
        <w:t>4. Risk Scoring Summary</w:t>
      </w:r>
    </w:p>
    <w:p>
      <w:r>
        <w:t>A total of 22 control areas were evaluated. Scores were assigned on a 1–5 scale:</w:t>
        <w:br/>
        <w:t>1 = Low risk, 5 = Critical risk. The average risk score is 1.41, which places the vendor in the “Low Risk” category.</w:t>
      </w:r>
    </w:p>
    <w:p>
      <w:pPr>
        <w:pStyle w:val="Heading2"/>
      </w:pPr>
      <w:r>
        <w:t>5. Recommendations &amp; Mitigations</w:t>
      </w:r>
    </w:p>
    <w:p>
      <w:pPr>
        <w:pStyle w:val="ListBullet"/>
      </w:pPr>
      <w:r>
        <w:t>- Finalize SOC 2 Type II audit before contract execution. Require a copy of the audit report once complete.</w:t>
      </w:r>
    </w:p>
    <w:p>
      <w:pPr>
        <w:pStyle w:val="ListBullet"/>
      </w:pPr>
      <w:r>
        <w:t>- Formalize HIPAA controls if the vendor may handle PHI. Include a Business Associate Agreement (BAA) where applicable.</w:t>
      </w:r>
    </w:p>
    <w:p>
      <w:pPr>
        <w:pStyle w:val="ListBullet"/>
      </w:pPr>
      <w:r>
        <w:t>- Supplement IDS with IPS or deploy compensating controls to address intrusion prevention gaps.</w:t>
      </w:r>
    </w:p>
    <w:p>
      <w:pPr>
        <w:pStyle w:val="ListBullet"/>
      </w:pPr>
      <w:r>
        <w:t>- Verify subcontractor oversight, including DPAs and security SLAs for third-party services (AWS, Auth0).</w:t>
      </w:r>
    </w:p>
    <w:p>
      <w:pPr>
        <w:pStyle w:val="ListBullet"/>
      </w:pPr>
      <w:r>
        <w:t>- Continue quarterly access reviews and document IR/BC/DR test results for audit readiness.</w:t>
      </w:r>
    </w:p>
    <w:p>
      <w:pPr>
        <w:pStyle w:val="Heading2"/>
      </w:pPr>
      <w:r>
        <w:t>6. Final Tier &amp; Decision</w:t>
      </w:r>
    </w:p>
    <w:p>
      <w:r>
        <w:t>Based on the assessment, CloudSecure LMS is rated as a Low Risk vendor. It is recommended to proceed with onboarding, contingent upon the mitigation of the identified moderate risks.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