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CareConnect Desktop Accessibility and Design Documentation</w:t>
      </w:r>
    </w:p>
    <w:p>
      <w:pPr>
        <w:spacing w:after="400"/>
      </w:pPr>
      <w:r>
        <w:rPr>
          <w:b/>
          <w:color w:val="007C78"/>
          <w:sz w:val="26"/>
        </w:rPr>
        <w:t>Desktop accessibility planning and design rationale</w:t>
      </w:r>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4997"/>
            <w:shd w:fill="0B326B"/>
            <w:tcMar>
              <w:top w:w="110" w:type="dxa"/>
              <w:start w:w="130" w:type="dxa"/>
              <w:bottom w:w="110" w:type="dxa"/>
              <w:end w:w="130" w:type="dxa"/>
            </w:tcMar>
          </w:tcPr>
          <w:p>
            <w:pPr>
              <w:jc w:val="center"/>
            </w:pPr>
            <w:r>
              <w:rPr>
                <w:b/>
                <w:color w:val="FFFFFF"/>
              </w:rPr>
              <w:t>Document information</w:t>
            </w:r>
          </w:p>
        </w:tc>
        <w:tc>
          <w:tcPr>
            <w:tcW w:type="dxa" w:w="4997"/>
            <w:shd w:fill="0B326B"/>
            <w:tcMar>
              <w:top w:w="110" w:type="dxa"/>
              <w:start w:w="130" w:type="dxa"/>
              <w:bottom w:w="110" w:type="dxa"/>
              <w:end w:w="130" w:type="dxa"/>
            </w:tcMar>
          </w:tcPr>
          <w:p>
            <w:pPr>
              <w:jc w:val="center"/>
            </w:pPr>
            <w:r>
              <w:rPr>
                <w:b/>
                <w:color w:val="FFFFFF"/>
              </w:rPr>
              <w:t>Details</w:t>
            </w:r>
          </w:p>
        </w:tc>
      </w:tr>
      <w:tr>
        <w:tc>
          <w:tcPr>
            <w:tcW w:type="dxa" w:w="2232"/>
            <w:shd w:fill="EEF5FB"/>
            <w:tcMar>
              <w:top w:w="120" w:type="dxa"/>
              <w:start w:w="130" w:type="dxa"/>
              <w:bottom w:w="120" w:type="dxa"/>
              <w:end w:w="130" w:type="dxa"/>
            </w:tcMar>
            <w:vAlign w:val="center"/>
          </w:tcPr>
          <w:p>
            <w:r>
              <w:rPr>
                <w:b/>
              </w:rPr>
              <w:t>Project</w:t>
            </w:r>
          </w:p>
        </w:tc>
        <w:tc>
          <w:tcPr>
            <w:tcW w:type="dxa" w:w="7416"/>
            <w:tcMar>
              <w:top w:w="120" w:type="dxa"/>
              <w:start w:w="130" w:type="dxa"/>
              <w:bottom w:w="120" w:type="dxa"/>
              <w:end w:w="130" w:type="dxa"/>
            </w:tcMar>
            <w:vAlign w:val="center"/>
          </w:tcPr>
          <w:p>
            <w:r>
              <w:t>CareConnect Safeview</w:t>
            </w:r>
          </w:p>
        </w:tc>
      </w:tr>
      <w:tr>
        <w:tc>
          <w:tcPr>
            <w:tcW w:type="dxa" w:w="2232"/>
            <w:shd w:fill="EEF5FB"/>
            <w:tcMar>
              <w:top w:w="120" w:type="dxa"/>
              <w:start w:w="130" w:type="dxa"/>
              <w:bottom w:w="120" w:type="dxa"/>
              <w:end w:w="130" w:type="dxa"/>
            </w:tcMar>
            <w:vAlign w:val="center"/>
          </w:tcPr>
          <w:p>
            <w:r>
              <w:rPr>
                <w:b/>
              </w:rPr>
              <w:t>Course</w:t>
            </w:r>
          </w:p>
        </w:tc>
        <w:tc>
          <w:tcPr>
            <w:tcW w:type="dxa" w:w="7416"/>
            <w:tcMar>
              <w:top w:w="120" w:type="dxa"/>
              <w:start w:w="130" w:type="dxa"/>
              <w:bottom w:w="120" w:type="dxa"/>
              <w:end w:w="130" w:type="dxa"/>
            </w:tcMar>
            <w:vAlign w:val="center"/>
          </w:tcPr>
          <w:p>
            <w:r>
              <w:t>SWEN 661</w:t>
            </w:r>
          </w:p>
        </w:tc>
      </w:tr>
      <w:tr>
        <w:tc>
          <w:tcPr>
            <w:tcW w:type="dxa" w:w="2232"/>
            <w:shd w:fill="EEF5FB"/>
            <w:tcMar>
              <w:top w:w="120" w:type="dxa"/>
              <w:start w:w="130" w:type="dxa"/>
              <w:bottom w:w="120" w:type="dxa"/>
              <w:end w:w="130" w:type="dxa"/>
            </w:tcMar>
            <w:vAlign w:val="center"/>
          </w:tcPr>
          <w:p>
            <w:r>
              <w:rPr>
                <w:b/>
              </w:rPr>
              <w:t>Team</w:t>
            </w:r>
          </w:p>
        </w:tc>
        <w:tc>
          <w:tcPr>
            <w:tcW w:type="dxa" w:w="7416"/>
            <w:tcMar>
              <w:top w:w="120" w:type="dxa"/>
              <w:start w:w="130" w:type="dxa"/>
              <w:bottom w:w="120" w:type="dxa"/>
              <w:end w:w="130" w:type="dxa"/>
            </w:tcMar>
            <w:vAlign w:val="center"/>
          </w:tcPr>
          <w:p>
            <w:r>
              <w:t>Team 9</w:t>
            </w:r>
          </w:p>
        </w:tc>
      </w:tr>
      <w:tr>
        <w:tc>
          <w:tcPr>
            <w:tcW w:type="dxa" w:w="2232"/>
            <w:shd w:fill="EEF5FB"/>
            <w:tcMar>
              <w:top w:w="120" w:type="dxa"/>
              <w:start w:w="130" w:type="dxa"/>
              <w:bottom w:w="120" w:type="dxa"/>
              <w:end w:w="130" w:type="dxa"/>
            </w:tcMar>
            <w:vAlign w:val="center"/>
          </w:tcPr>
          <w:p>
            <w:r>
              <w:rPr>
                <w:b/>
              </w:rPr>
              <w:t>Document status</w:t>
            </w:r>
          </w:p>
        </w:tc>
        <w:tc>
          <w:tcPr>
            <w:tcW w:type="dxa" w:w="7416"/>
            <w:tcMar>
              <w:top w:w="120" w:type="dxa"/>
              <w:start w:w="130" w:type="dxa"/>
              <w:bottom w:w="120" w:type="dxa"/>
              <w:end w:w="130" w:type="dxa"/>
            </w:tcMar>
            <w:vAlign w:val="center"/>
          </w:tcPr>
          <w:p>
            <w:r>
              <w:t>Desktop planning and implementation acceptance baseline</w:t>
            </w:r>
          </w:p>
        </w:tc>
      </w:tr>
    </w:tbl>
    <w:p/>
    <w:p>
      <w:pPr>
        <w:spacing w:after="280"/>
      </w:pPr>
      <w:r>
        <w:rPr>
          <w:color w:val="1F354D"/>
          <w:sz w:val="23"/>
        </w:rPr>
        <w:t>This document explains how CareConnect Safeview will provide a keyboard-first, screen-reader-compatible, visually stable desktop experience for care recipients, including people with photosensitive epilepsy. It also records the desktop-specific design decisions that distinguish the Electron application from the mobile implementations.</w:t>
      </w:r>
    </w:p>
    <w:p>
      <w:pPr>
        <w:pStyle w:val="Heading1"/>
      </w:pPr>
      <w:r>
        <w:t>Scope and status</w:t>
      </w:r>
    </w:p>
    <w:p>
      <w:r>
        <w:t>The Figma file defines the intended desktop experience, including Dashboard and Appointments layouts at 1024, 1440, and 1920 pixels; five 1440 pixel authentication states for sign in, account creation, and password recovery; desktop menus and dialogs; Windows and macOS chrome references; a 720 pixel reflow example; and keyboard and accessibility behavior. The current Electron repository is an early starter that opens a secure BrowserWindow and displays a static CareConnect welcome screen. Features described here are requirements and acceptance criteria until they are implemented and verified in Electron.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376"/>
            <w:shd w:fill="0B326B"/>
            <w:tcMar>
              <w:top w:w="110" w:type="dxa"/>
              <w:start w:w="100" w:type="dxa"/>
              <w:bottom w:w="110" w:type="dxa"/>
              <w:end w:w="100" w:type="dxa"/>
            </w:tcMar>
          </w:tcPr>
          <w:p>
            <w:pPr>
              <w:jc w:val="center"/>
            </w:pPr>
            <w:r>
              <w:rPr>
                <w:b/>
                <w:color w:val="FFFFFF"/>
                <w:sz w:val="19"/>
              </w:rPr>
              <w:t>Artifact</w:t>
            </w:r>
          </w:p>
        </w:tc>
        <w:tc>
          <w:tcPr>
            <w:tcW w:type="dxa" w:w="3240"/>
            <w:shd w:fill="0B326B"/>
            <w:tcMar>
              <w:top w:w="110" w:type="dxa"/>
              <w:start w:w="100" w:type="dxa"/>
              <w:bottom w:w="110" w:type="dxa"/>
              <w:end w:w="100" w:type="dxa"/>
            </w:tcMar>
          </w:tcPr>
          <w:p>
            <w:pPr>
              <w:jc w:val="center"/>
            </w:pPr>
            <w:r>
              <w:rPr>
                <w:b/>
                <w:color w:val="FFFFFF"/>
                <w:sz w:val="19"/>
              </w:rPr>
              <w:t>Current role</w:t>
            </w:r>
          </w:p>
        </w:tc>
        <w:tc>
          <w:tcPr>
            <w:tcW w:type="dxa" w:w="4104"/>
            <w:shd w:fill="0B326B"/>
            <w:tcMar>
              <w:top w:w="110" w:type="dxa"/>
              <w:start w:w="100" w:type="dxa"/>
              <w:bottom w:w="110" w:type="dxa"/>
              <w:end w:w="100" w:type="dxa"/>
            </w:tcMar>
          </w:tcPr>
          <w:p>
            <w:pPr>
              <w:jc w:val="center"/>
            </w:pPr>
            <w:r>
              <w:rPr>
                <w:b/>
                <w:color w:val="FFFFFF"/>
                <w:sz w:val="19"/>
              </w:rPr>
              <w:t>Evidence boundary</w:t>
            </w:r>
          </w:p>
        </w:tc>
      </w:tr>
      <w:tr>
        <w:tc>
          <w:tcPr>
            <w:tcW w:type="dxa" w:w="2376"/>
            <w:tcMar>
              <w:top w:w="95" w:type="dxa"/>
              <w:start w:w="95" w:type="dxa"/>
              <w:bottom w:w="95" w:type="dxa"/>
              <w:end w:w="95" w:type="dxa"/>
            </w:tcMar>
            <w:vAlign w:val="center"/>
          </w:tcPr>
          <w:p>
            <w:pPr>
              <w:spacing w:after="0"/>
            </w:pPr>
            <w:r>
              <w:rPr>
                <w:sz w:val="18"/>
              </w:rPr>
              <w:t>Figma desktop design</w:t>
            </w:r>
          </w:p>
        </w:tc>
        <w:tc>
          <w:tcPr>
            <w:tcW w:type="dxa" w:w="3240"/>
            <w:tcMar>
              <w:top w:w="95" w:type="dxa"/>
              <w:start w:w="95" w:type="dxa"/>
              <w:bottom w:w="95" w:type="dxa"/>
              <w:end w:w="95" w:type="dxa"/>
            </w:tcMar>
            <w:vAlign w:val="center"/>
          </w:tcPr>
          <w:p>
            <w:pPr>
              <w:spacing w:after="0"/>
            </w:pPr>
            <w:r>
              <w:rPr>
                <w:sz w:val="18"/>
              </w:rPr>
              <w:t>Design specification and interactive prototype</w:t>
            </w:r>
          </w:p>
        </w:tc>
        <w:tc>
          <w:tcPr>
            <w:tcW w:type="dxa" w:w="4104"/>
            <w:tcMar>
              <w:top w:w="95" w:type="dxa"/>
              <w:start w:w="95" w:type="dxa"/>
              <w:bottom w:w="95" w:type="dxa"/>
              <w:end w:w="95" w:type="dxa"/>
            </w:tcMar>
            <w:vAlign w:val="center"/>
          </w:tcPr>
          <w:p>
            <w:pPr>
              <w:spacing w:after="0"/>
            </w:pPr>
            <w:r>
              <w:rPr>
                <w:sz w:val="18"/>
              </w:rPr>
              <w:t>Supports design review; does not prove native or assistive technology behavior</w:t>
            </w:r>
          </w:p>
        </w:tc>
      </w:tr>
      <w:tr>
        <w:tc>
          <w:tcPr>
            <w:tcW w:type="dxa" w:w="2376"/>
            <w:shd w:fill="EEF5FB"/>
            <w:tcMar>
              <w:top w:w="95" w:type="dxa"/>
              <w:start w:w="95" w:type="dxa"/>
              <w:bottom w:w="95" w:type="dxa"/>
              <w:end w:w="95" w:type="dxa"/>
            </w:tcMar>
            <w:vAlign w:val="center"/>
          </w:tcPr>
          <w:p>
            <w:pPr>
              <w:spacing w:after="0"/>
            </w:pPr>
            <w:r>
              <w:rPr>
                <w:sz w:val="18"/>
              </w:rPr>
              <w:t>Electron starter</w:t>
            </w:r>
          </w:p>
        </w:tc>
        <w:tc>
          <w:tcPr>
            <w:tcW w:type="dxa" w:w="3240"/>
            <w:shd w:fill="EEF5FB"/>
            <w:tcMar>
              <w:top w:w="95" w:type="dxa"/>
              <w:start w:w="95" w:type="dxa"/>
              <w:bottom w:w="95" w:type="dxa"/>
              <w:end w:w="95" w:type="dxa"/>
            </w:tcMar>
            <w:vAlign w:val="center"/>
          </w:tcPr>
          <w:p>
            <w:pPr>
              <w:spacing w:after="0"/>
            </w:pPr>
            <w:r>
              <w:rPr>
                <w:sz w:val="18"/>
              </w:rPr>
              <w:t>Early implementation evidence</w:t>
            </w:r>
          </w:p>
        </w:tc>
        <w:tc>
          <w:tcPr>
            <w:tcW w:type="dxa" w:w="4104"/>
            <w:shd w:fill="EEF5FB"/>
            <w:tcMar>
              <w:top w:w="95" w:type="dxa"/>
              <w:start w:w="95" w:type="dxa"/>
              <w:bottom w:w="95" w:type="dxa"/>
              <w:end w:w="95" w:type="dxa"/>
            </w:tcMar>
            <w:vAlign w:val="center"/>
          </w:tcPr>
          <w:p>
            <w:pPr>
              <w:spacing w:after="0"/>
            </w:pPr>
            <w:r>
              <w:rPr>
                <w:sz w:val="18"/>
              </w:rPr>
              <w:t>Proves the desktop window launches; does not yet implement the complete Figma workflow</w:t>
            </w:r>
          </w:p>
        </w:tc>
      </w:tr>
      <w:tr>
        <w:tc>
          <w:tcPr>
            <w:tcW w:type="dxa" w:w="2376"/>
            <w:tcMar>
              <w:top w:w="95" w:type="dxa"/>
              <w:start w:w="95" w:type="dxa"/>
              <w:bottom w:w="95" w:type="dxa"/>
              <w:end w:w="95" w:type="dxa"/>
            </w:tcMar>
            <w:vAlign w:val="center"/>
          </w:tcPr>
          <w:p>
            <w:pPr>
              <w:spacing w:after="0"/>
            </w:pPr>
            <w:r>
              <w:rPr>
                <w:sz w:val="18"/>
              </w:rPr>
              <w:t>This documentation</w:t>
            </w:r>
          </w:p>
        </w:tc>
        <w:tc>
          <w:tcPr>
            <w:tcW w:type="dxa" w:w="3240"/>
            <w:tcMar>
              <w:top w:w="95" w:type="dxa"/>
              <w:start w:w="95" w:type="dxa"/>
              <w:bottom w:w="95" w:type="dxa"/>
              <w:end w:w="95" w:type="dxa"/>
            </w:tcMar>
            <w:vAlign w:val="center"/>
          </w:tcPr>
          <w:p>
            <w:pPr>
              <w:spacing w:after="0"/>
            </w:pPr>
            <w:r>
              <w:rPr>
                <w:sz w:val="18"/>
              </w:rPr>
              <w:t>Implementation and test acceptance baseline</w:t>
            </w:r>
          </w:p>
        </w:tc>
        <w:tc>
          <w:tcPr>
            <w:tcW w:type="dxa" w:w="4104"/>
            <w:tcMar>
              <w:top w:w="95" w:type="dxa"/>
              <w:start w:w="95" w:type="dxa"/>
              <w:bottom w:w="95" w:type="dxa"/>
              <w:end w:w="95" w:type="dxa"/>
            </w:tcMar>
            <w:vAlign w:val="center"/>
          </w:tcPr>
          <w:p>
            <w:pPr>
              <w:spacing w:after="0"/>
            </w:pPr>
            <w:r>
              <w:rPr>
                <w:sz w:val="18"/>
              </w:rPr>
              <w:t>Defines what must be built and manually verified</w:t>
            </w:r>
          </w:p>
        </w:tc>
      </w:tr>
    </w:tbl>
    <w:p>
      <w:pPr>
        <w:spacing w:after="20"/>
      </w:pPr>
    </w:p>
    <w:p>
      <w:pPr>
        <w:pStyle w:val="Heading1"/>
      </w:pPr>
      <w:r>
        <w:t>Desktop design compared with mobile</w:t>
      </w:r>
    </w:p>
    <w:p>
      <w:r>
        <w:t>The desktop design preserves CareConnect's calm visual language while changing the information architecture and interaction model for larger displays, precise pointer input, physical keyboards, resizable windows, and operating-system conventions.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016"/>
            <w:shd w:fill="0B326B"/>
            <w:tcMar>
              <w:top w:w="110" w:type="dxa"/>
              <w:start w:w="100" w:type="dxa"/>
              <w:bottom w:w="110" w:type="dxa"/>
              <w:end w:w="100" w:type="dxa"/>
            </w:tcMar>
          </w:tcPr>
          <w:p>
            <w:pPr>
              <w:jc w:val="center"/>
            </w:pPr>
            <w:r>
              <w:rPr>
                <w:b/>
                <w:color w:val="FFFFFF"/>
                <w:sz w:val="18"/>
              </w:rPr>
              <w:t>Design area</w:t>
            </w:r>
          </w:p>
        </w:tc>
        <w:tc>
          <w:tcPr>
            <w:tcW w:type="dxa" w:w="3096"/>
            <w:shd w:fill="0B326B"/>
            <w:tcMar>
              <w:top w:w="110" w:type="dxa"/>
              <w:start w:w="100" w:type="dxa"/>
              <w:bottom w:w="110" w:type="dxa"/>
              <w:end w:w="100" w:type="dxa"/>
            </w:tcMar>
          </w:tcPr>
          <w:p>
            <w:pPr>
              <w:jc w:val="center"/>
            </w:pPr>
            <w:r>
              <w:rPr>
                <w:b/>
                <w:color w:val="FFFFFF"/>
                <w:sz w:val="18"/>
              </w:rPr>
              <w:t>Mobile approach</w:t>
            </w:r>
          </w:p>
        </w:tc>
        <w:tc>
          <w:tcPr>
            <w:tcW w:type="dxa" w:w="4608"/>
            <w:shd w:fill="0B326B"/>
            <w:tcMar>
              <w:top w:w="110" w:type="dxa"/>
              <w:start w:w="100" w:type="dxa"/>
              <w:bottom w:w="110" w:type="dxa"/>
              <w:end w:w="100" w:type="dxa"/>
            </w:tcMar>
          </w:tcPr>
          <w:p>
            <w:pPr>
              <w:jc w:val="center"/>
            </w:pPr>
            <w:r>
              <w:rPr>
                <w:b/>
                <w:color w:val="FFFFFF"/>
                <w:sz w:val="18"/>
              </w:rPr>
              <w:t>Desktop approach and rationale</w:t>
            </w:r>
          </w:p>
        </w:tc>
      </w:tr>
      <w:tr>
        <w:tc>
          <w:tcPr>
            <w:tcW w:type="dxa" w:w="2016"/>
            <w:tcMar>
              <w:top w:w="95" w:type="dxa"/>
              <w:start w:w="95" w:type="dxa"/>
              <w:bottom w:w="95" w:type="dxa"/>
              <w:end w:w="95" w:type="dxa"/>
            </w:tcMar>
            <w:vAlign w:val="center"/>
          </w:tcPr>
          <w:p>
            <w:pPr>
              <w:spacing w:after="0"/>
            </w:pPr>
            <w:r>
              <w:rPr>
                <w:sz w:val="17"/>
              </w:rPr>
              <w:t>Primary navigation</w:t>
            </w:r>
          </w:p>
        </w:tc>
        <w:tc>
          <w:tcPr>
            <w:tcW w:type="dxa" w:w="3096"/>
            <w:tcMar>
              <w:top w:w="95" w:type="dxa"/>
              <w:start w:w="95" w:type="dxa"/>
              <w:bottom w:w="95" w:type="dxa"/>
              <w:end w:w="95" w:type="dxa"/>
            </w:tcMar>
            <w:vAlign w:val="center"/>
          </w:tcPr>
          <w:p>
            <w:pPr>
              <w:spacing w:after="0"/>
            </w:pPr>
            <w:r>
              <w:rPr>
                <w:sz w:val="17"/>
              </w:rPr>
              <w:t>Bottom navigation optimized for thumb reach</w:t>
            </w:r>
          </w:p>
        </w:tc>
        <w:tc>
          <w:tcPr>
            <w:tcW w:type="dxa" w:w="4608"/>
            <w:tcMar>
              <w:top w:w="95" w:type="dxa"/>
              <w:start w:w="95" w:type="dxa"/>
              <w:bottom w:w="95" w:type="dxa"/>
              <w:end w:w="95" w:type="dxa"/>
            </w:tcMar>
            <w:vAlign w:val="center"/>
          </w:tcPr>
          <w:p>
            <w:pPr>
              <w:spacing w:after="0"/>
            </w:pPr>
            <w:r>
              <w:rPr>
                <w:sz w:val="17"/>
              </w:rPr>
              <w:t>Persistent left sidebar keeps destinations visible and leaves the bottom edge available for status information</w:t>
            </w:r>
          </w:p>
        </w:tc>
      </w:tr>
      <w:tr>
        <w:tc>
          <w:tcPr>
            <w:tcW w:type="dxa" w:w="2016"/>
            <w:shd w:fill="EEF5FB"/>
            <w:tcMar>
              <w:top w:w="95" w:type="dxa"/>
              <w:start w:w="95" w:type="dxa"/>
              <w:bottom w:w="95" w:type="dxa"/>
              <w:end w:w="95" w:type="dxa"/>
            </w:tcMar>
            <w:vAlign w:val="center"/>
          </w:tcPr>
          <w:p>
            <w:pPr>
              <w:spacing w:after="0"/>
            </w:pPr>
            <w:r>
              <w:rPr>
                <w:sz w:val="17"/>
              </w:rPr>
              <w:t>Content organization</w:t>
            </w:r>
          </w:p>
        </w:tc>
        <w:tc>
          <w:tcPr>
            <w:tcW w:type="dxa" w:w="3096"/>
            <w:shd w:fill="EEF5FB"/>
            <w:tcMar>
              <w:top w:w="95" w:type="dxa"/>
              <w:start w:w="95" w:type="dxa"/>
              <w:bottom w:w="95" w:type="dxa"/>
              <w:end w:w="95" w:type="dxa"/>
            </w:tcMar>
            <w:vAlign w:val="center"/>
          </w:tcPr>
          <w:p>
            <w:pPr>
              <w:spacing w:after="0"/>
            </w:pPr>
            <w:r>
              <w:rPr>
                <w:sz w:val="17"/>
              </w:rPr>
              <w:t>One primary task or screen at a time</w:t>
            </w:r>
          </w:p>
        </w:tc>
        <w:tc>
          <w:tcPr>
            <w:tcW w:type="dxa" w:w="4608"/>
            <w:shd w:fill="EEF5FB"/>
            <w:tcMar>
              <w:top w:w="95" w:type="dxa"/>
              <w:start w:w="95" w:type="dxa"/>
              <w:bottom w:w="95" w:type="dxa"/>
              <w:end w:w="95" w:type="dxa"/>
            </w:tcMar>
            <w:vAlign w:val="center"/>
          </w:tcPr>
          <w:p>
            <w:pPr>
              <w:spacing w:after="0"/>
            </w:pPr>
            <w:r>
              <w:rPr>
                <w:sz w:val="17"/>
              </w:rPr>
              <w:t>List and detail panes remain visible together at wider sizes to reduce context switching</w:t>
            </w:r>
          </w:p>
        </w:tc>
      </w:tr>
      <w:tr>
        <w:tc>
          <w:tcPr>
            <w:tcW w:type="dxa" w:w="2016"/>
            <w:tcMar>
              <w:top w:w="95" w:type="dxa"/>
              <w:start w:w="95" w:type="dxa"/>
              <w:bottom w:w="95" w:type="dxa"/>
              <w:end w:w="95" w:type="dxa"/>
            </w:tcMar>
            <w:vAlign w:val="center"/>
          </w:tcPr>
          <w:p>
            <w:pPr>
              <w:spacing w:after="0"/>
            </w:pPr>
            <w:r>
              <w:rPr>
                <w:sz w:val="17"/>
              </w:rPr>
              <w:t>Frequent actions</w:t>
            </w:r>
          </w:p>
        </w:tc>
        <w:tc>
          <w:tcPr>
            <w:tcW w:type="dxa" w:w="3096"/>
            <w:tcMar>
              <w:top w:w="95" w:type="dxa"/>
              <w:start w:w="95" w:type="dxa"/>
              <w:bottom w:w="95" w:type="dxa"/>
              <w:end w:w="95" w:type="dxa"/>
            </w:tcMar>
            <w:vAlign w:val="center"/>
          </w:tcPr>
          <w:p>
            <w:pPr>
              <w:spacing w:after="0"/>
            </w:pPr>
            <w:r>
              <w:rPr>
                <w:sz w:val="17"/>
              </w:rPr>
              <w:t>Screen-level buttons and floating actions</w:t>
            </w:r>
          </w:p>
        </w:tc>
        <w:tc>
          <w:tcPr>
            <w:tcW w:type="dxa" w:w="4608"/>
            <w:tcMar>
              <w:top w:w="95" w:type="dxa"/>
              <w:start w:w="95" w:type="dxa"/>
              <w:bottom w:w="95" w:type="dxa"/>
              <w:end w:w="95" w:type="dxa"/>
            </w:tcMar>
            <w:vAlign w:val="center"/>
          </w:tcPr>
          <w:p>
            <w:pPr>
              <w:spacing w:after="0"/>
            </w:pPr>
            <w:r>
              <w:rPr>
                <w:sz w:val="17"/>
              </w:rPr>
              <w:t>Toolbar exposes New Appointment and Save Note without hiding them in mobile overflow patterns</w:t>
            </w:r>
          </w:p>
        </w:tc>
      </w:tr>
      <w:tr>
        <w:tc>
          <w:tcPr>
            <w:tcW w:type="dxa" w:w="2016"/>
            <w:shd w:fill="EEF5FB"/>
            <w:tcMar>
              <w:top w:w="95" w:type="dxa"/>
              <w:start w:w="95" w:type="dxa"/>
              <w:bottom w:w="95" w:type="dxa"/>
              <w:end w:w="95" w:type="dxa"/>
            </w:tcMar>
            <w:vAlign w:val="center"/>
          </w:tcPr>
          <w:p>
            <w:pPr>
              <w:spacing w:after="0"/>
            </w:pPr>
            <w:r>
              <w:rPr>
                <w:sz w:val="17"/>
              </w:rPr>
              <w:t>Application commands</w:t>
            </w:r>
          </w:p>
        </w:tc>
        <w:tc>
          <w:tcPr>
            <w:tcW w:type="dxa" w:w="3096"/>
            <w:shd w:fill="EEF5FB"/>
            <w:tcMar>
              <w:top w:w="95" w:type="dxa"/>
              <w:start w:w="95" w:type="dxa"/>
              <w:bottom w:w="95" w:type="dxa"/>
              <w:end w:w="95" w:type="dxa"/>
            </w:tcMar>
            <w:vAlign w:val="center"/>
          </w:tcPr>
          <w:p>
            <w:pPr>
              <w:spacing w:after="0"/>
            </w:pPr>
            <w:r>
              <w:rPr>
                <w:sz w:val="17"/>
              </w:rPr>
              <w:t>Platform navigation and screen controls</w:t>
            </w:r>
          </w:p>
        </w:tc>
        <w:tc>
          <w:tcPr>
            <w:tcW w:type="dxa" w:w="4608"/>
            <w:shd w:fill="EEF5FB"/>
            <w:tcMar>
              <w:top w:w="95" w:type="dxa"/>
              <w:start w:w="95" w:type="dxa"/>
              <w:bottom w:w="95" w:type="dxa"/>
              <w:end w:w="95" w:type="dxa"/>
            </w:tcMar>
            <w:vAlign w:val="center"/>
          </w:tcPr>
          <w:p>
            <w:pPr>
              <w:spacing w:after="0"/>
            </w:pPr>
            <w:r>
              <w:rPr>
                <w:sz w:val="17"/>
              </w:rPr>
              <w:t>File, Edit, View, Window, and Help menus follow desktop expectations and expose shortcuts</w:t>
            </w:r>
          </w:p>
        </w:tc>
      </w:tr>
      <w:tr>
        <w:tc>
          <w:tcPr>
            <w:tcW w:type="dxa" w:w="2016"/>
            <w:tcMar>
              <w:top w:w="95" w:type="dxa"/>
              <w:start w:w="95" w:type="dxa"/>
              <w:bottom w:w="95" w:type="dxa"/>
              <w:end w:w="95" w:type="dxa"/>
            </w:tcMar>
            <w:vAlign w:val="center"/>
          </w:tcPr>
          <w:p>
            <w:pPr>
              <w:spacing w:after="0"/>
            </w:pPr>
            <w:r>
              <w:rPr>
                <w:sz w:val="17"/>
              </w:rPr>
              <w:t>Secondary actions</w:t>
            </w:r>
          </w:p>
        </w:tc>
        <w:tc>
          <w:tcPr>
            <w:tcW w:type="dxa" w:w="3096"/>
            <w:tcMar>
              <w:top w:w="95" w:type="dxa"/>
              <w:start w:w="95" w:type="dxa"/>
              <w:bottom w:w="95" w:type="dxa"/>
              <w:end w:w="95" w:type="dxa"/>
            </w:tcMar>
            <w:vAlign w:val="center"/>
          </w:tcPr>
          <w:p>
            <w:pPr>
              <w:spacing w:after="0"/>
            </w:pPr>
            <w:r>
              <w:rPr>
                <w:sz w:val="17"/>
              </w:rPr>
              <w:t>Tap menus or dedicated screens</w:t>
            </w:r>
          </w:p>
        </w:tc>
        <w:tc>
          <w:tcPr>
            <w:tcW w:type="dxa" w:w="4608"/>
            <w:tcMar>
              <w:top w:w="95" w:type="dxa"/>
              <w:start w:w="95" w:type="dxa"/>
              <w:bottom w:w="95" w:type="dxa"/>
              <w:end w:w="95" w:type="dxa"/>
            </w:tcMar>
            <w:vAlign w:val="center"/>
          </w:tcPr>
          <w:p>
            <w:pPr>
              <w:spacing w:after="0"/>
            </w:pPr>
            <w:r>
              <w:rPr>
                <w:sz w:val="17"/>
              </w:rPr>
              <w:t>Context menu and More Actions support pointer and keyboard users without making right-click mandatory</w:t>
            </w:r>
          </w:p>
        </w:tc>
      </w:tr>
      <w:tr>
        <w:tc>
          <w:tcPr>
            <w:tcW w:type="dxa" w:w="2016"/>
            <w:shd w:fill="EEF5FB"/>
            <w:tcMar>
              <w:top w:w="95" w:type="dxa"/>
              <w:start w:w="95" w:type="dxa"/>
              <w:bottom w:w="95" w:type="dxa"/>
              <w:end w:w="95" w:type="dxa"/>
            </w:tcMar>
            <w:vAlign w:val="center"/>
          </w:tcPr>
          <w:p>
            <w:pPr>
              <w:spacing w:after="0"/>
            </w:pPr>
            <w:r>
              <w:rPr>
                <w:sz w:val="17"/>
              </w:rPr>
              <w:t>Feedback</w:t>
            </w:r>
          </w:p>
        </w:tc>
        <w:tc>
          <w:tcPr>
            <w:tcW w:type="dxa" w:w="3096"/>
            <w:shd w:fill="EEF5FB"/>
            <w:tcMar>
              <w:top w:w="95" w:type="dxa"/>
              <w:start w:w="95" w:type="dxa"/>
              <w:bottom w:w="95" w:type="dxa"/>
              <w:end w:w="95" w:type="dxa"/>
            </w:tcMar>
            <w:vAlign w:val="center"/>
          </w:tcPr>
          <w:p>
            <w:pPr>
              <w:spacing w:after="0"/>
            </w:pPr>
            <w:r>
              <w:rPr>
                <w:sz w:val="17"/>
              </w:rPr>
              <w:t>Snackbars and page-level messages</w:t>
            </w:r>
          </w:p>
        </w:tc>
        <w:tc>
          <w:tcPr>
            <w:tcW w:type="dxa" w:w="4608"/>
            <w:shd w:fill="EEF5FB"/>
            <w:tcMar>
              <w:top w:w="95" w:type="dxa"/>
              <w:start w:w="95" w:type="dxa"/>
              <w:bottom w:w="95" w:type="dxa"/>
              <w:end w:w="95" w:type="dxa"/>
            </w:tcMar>
            <w:vAlign w:val="center"/>
          </w:tcPr>
          <w:p>
            <w:pPr>
              <w:spacing w:after="0"/>
            </w:pPr>
            <w:r>
              <w:rPr>
                <w:sz w:val="17"/>
              </w:rPr>
              <w:t>Status bar and modal feedback preserve desktop context while announcing changes accessibly</w:t>
            </w:r>
          </w:p>
        </w:tc>
      </w:tr>
      <w:tr>
        <w:tc>
          <w:tcPr>
            <w:tcW w:type="dxa" w:w="2016"/>
            <w:tcMar>
              <w:top w:w="95" w:type="dxa"/>
              <w:start w:w="95" w:type="dxa"/>
              <w:bottom w:w="95" w:type="dxa"/>
              <w:end w:w="95" w:type="dxa"/>
            </w:tcMar>
            <w:vAlign w:val="center"/>
          </w:tcPr>
          <w:p>
            <w:pPr>
              <w:spacing w:after="0"/>
            </w:pPr>
            <w:r>
              <w:rPr>
                <w:sz w:val="17"/>
              </w:rPr>
              <w:t>Sizing</w:t>
            </w:r>
          </w:p>
        </w:tc>
        <w:tc>
          <w:tcPr>
            <w:tcW w:type="dxa" w:w="3096"/>
            <w:tcMar>
              <w:top w:w="95" w:type="dxa"/>
              <w:start w:w="95" w:type="dxa"/>
              <w:bottom w:w="95" w:type="dxa"/>
              <w:end w:w="95" w:type="dxa"/>
            </w:tcMar>
            <w:vAlign w:val="center"/>
          </w:tcPr>
          <w:p>
            <w:pPr>
              <w:spacing w:after="0"/>
            </w:pPr>
            <w:r>
              <w:rPr>
                <w:sz w:val="17"/>
              </w:rPr>
              <w:t>Larger touch targets and more vertical stacking</w:t>
            </w:r>
          </w:p>
        </w:tc>
        <w:tc>
          <w:tcPr>
            <w:tcW w:type="dxa" w:w="4608"/>
            <w:tcMar>
              <w:top w:w="95" w:type="dxa"/>
              <w:start w:w="95" w:type="dxa"/>
              <w:bottom w:w="95" w:type="dxa"/>
              <w:end w:w="95" w:type="dxa"/>
            </w:tcMar>
            <w:vAlign w:val="center"/>
          </w:tcPr>
          <w:p>
            <w:pPr>
              <w:spacing w:after="0"/>
            </w:pPr>
            <w:r>
              <w:rPr>
                <w:sz w:val="17"/>
              </w:rPr>
              <w:t>Denser 36 pixel controls and compact rows support mouse precision while retaining readable spacing</w:t>
            </w:r>
          </w:p>
        </w:tc>
      </w:tr>
    </w:tbl>
    <w:p>
      <w:pPr>
        <w:spacing w:after="20"/>
      </w:pPr>
    </w:p>
    <w:p>
      <w:pPr>
        <w:pStyle w:val="Heading1"/>
      </w:pPr>
      <w:r>
        <w:t>Desktop patterns and rationale</w:t>
      </w:r>
    </w:p>
    <w:p>
      <w:pPr>
        <w:spacing w:after="100"/>
      </w:pPr>
      <w:r>
        <w:rPr>
          <w:b/>
        </w:rPr>
        <w:t xml:space="preserve">Menu bar. </w:t>
      </w:r>
      <w:r>
        <w:t>Groups file, editing, view, window, and help commands in familiar locations and makes keyboard accelerators discoverable.</w:t>
      </w:r>
    </w:p>
    <w:p>
      <w:pPr>
        <w:spacing w:after="100"/>
      </w:pPr>
      <w:r>
        <w:rPr>
          <w:b/>
        </w:rPr>
        <w:t xml:space="preserve">Toolbar. </w:t>
      </w:r>
      <w:r>
        <w:t>Keeps the highest-frequency actions visible and provides immediate unsaved-state feedback.</w:t>
      </w:r>
    </w:p>
    <w:p>
      <w:pPr>
        <w:spacing w:after="100"/>
      </w:pPr>
      <w:r>
        <w:rPr>
          <w:b/>
        </w:rPr>
        <w:t xml:space="preserve">Persistent sidebar. </w:t>
      </w:r>
      <w:r>
        <w:t>Maintains orientation between Dashboard, Appointments, Settings, and Keyboard Shortcuts.</w:t>
      </w:r>
    </w:p>
    <w:p>
      <w:pPr>
        <w:spacing w:after="100"/>
      </w:pPr>
      <w:r>
        <w:rPr>
          <w:b/>
        </w:rPr>
        <w:t xml:space="preserve">List and detail workspace. </w:t>
      </w:r>
      <w:r>
        <w:t>Uses horizontal space to show appointment context without opening a separate mobile-style route.</w:t>
      </w:r>
    </w:p>
    <w:p>
      <w:pPr>
        <w:spacing w:after="100"/>
      </w:pPr>
      <w:r>
        <w:rPr>
          <w:b/>
        </w:rPr>
        <w:t xml:space="preserve">Context menu with visible alternative. </w:t>
      </w:r>
      <w:r>
        <w:t>Supports efficient pointer use while preserving More Actions for keyboard and assistive-technology users.</w:t>
      </w:r>
    </w:p>
    <w:p>
      <w:pPr>
        <w:spacing w:after="100"/>
      </w:pPr>
      <w:r>
        <w:rPr>
          <w:b/>
        </w:rPr>
        <w:t xml:space="preserve">Modal dialogs. </w:t>
      </w:r>
      <w:r>
        <w:t>Contains short settings, appointment-entry, validation, confirmation, and unsaved-change tasks without creating unnecessary windows.</w:t>
      </w:r>
    </w:p>
    <w:p>
      <w:pPr>
        <w:spacing w:after="100"/>
      </w:pPr>
      <w:r>
        <w:rPr>
          <w:b/>
        </w:rPr>
        <w:t xml:space="preserve">Status bar. </w:t>
      </w:r>
      <w:r>
        <w:t>Provides nonintrusive readiness, save, copy, and help information; important status changes are also announced programmatically.</w:t>
      </w:r>
    </w:p>
    <w:p>
      <w:pPr>
        <w:spacing w:after="100"/>
      </w:pPr>
      <w:r>
        <w:rPr>
          <w:b/>
        </w:rPr>
        <w:t xml:space="preserve">Native window chrome. </w:t>
      </w:r>
      <w:r>
        <w:t>Defers caption controls and window behavior to the operating system instead of imitating them in renderer content.</w:t>
      </w:r>
    </w:p>
    <w:p>
      <w:pPr>
        <w:pStyle w:val="Heading1"/>
      </w:pPr>
      <w:r>
        <w:t>Input optimization</w:t>
      </w:r>
    </w:p>
    <w:p>
      <w:pPr>
        <w:pStyle w:val="Heading2"/>
      </w:pPr>
      <w:r>
        <w:t>Mouse and trackpad</w:t>
      </w:r>
    </w:p>
    <w:p>
      <w:pPr>
        <w:pStyle w:val="ListBullet"/>
        <w:spacing w:after="60"/>
      </w:pPr>
      <w:r>
        <w:t>Visible toolbar actions reduce pointer travel for frequent commands.</w:t>
      </w:r>
    </w:p>
    <w:p>
      <w:pPr>
        <w:pStyle w:val="ListBullet"/>
        <w:spacing w:after="60"/>
      </w:pPr>
      <w:r>
        <w:t>Appointment rows provide a large, predictable selection area rather than requiring precise text clicks.</w:t>
      </w:r>
    </w:p>
    <w:p>
      <w:pPr>
        <w:pStyle w:val="ListBullet"/>
        <w:spacing w:after="60"/>
      </w:pPr>
      <w:r>
        <w:t>Right-click may open appointment actions, but the same commands remain available through the More Actions button.</w:t>
      </w:r>
    </w:p>
    <w:p>
      <w:pPr>
        <w:pStyle w:val="ListBullet"/>
        <w:spacing w:after="60"/>
      </w:pPr>
      <w:r>
        <w:t>Pointer hover and pressed states should be added during implementation while preserving the existing selected and focus indicators.</w:t>
      </w:r>
    </w:p>
    <w:p>
      <w:pPr>
        <w:pStyle w:val="Heading2"/>
      </w:pPr>
      <w:r>
        <w:t>Keyboard</w:t>
      </w:r>
    </w:p>
    <w:p>
      <w:pPr>
        <w:pStyle w:val="ListBullet"/>
        <w:spacing w:after="60"/>
      </w:pPr>
      <w:r>
        <w:t>Every feature must be operable without a mouse.</w:t>
      </w:r>
    </w:p>
    <w:p>
      <w:pPr>
        <w:pStyle w:val="ListBullet"/>
        <w:spacing w:after="60"/>
      </w:pPr>
      <w:r>
        <w:t>Tab and Shift+Tab move between logical control groups in reading order.</w:t>
      </w:r>
    </w:p>
    <w:p>
      <w:pPr>
        <w:pStyle w:val="ListBullet"/>
        <w:spacing w:after="60"/>
      </w:pPr>
      <w:r>
        <w:t>Arrow keys move within composite menus, toolbars, navigation groups, and appointment lists; Home and End move to the first or last item.</w:t>
      </w:r>
    </w:p>
    <w:p>
      <w:pPr>
        <w:pStyle w:val="ListBullet"/>
        <w:spacing w:after="60"/>
      </w:pPr>
      <w:r>
        <w:t>Enter activates the focused control. Space activates buttons and toggles without interfering with text entry.</w:t>
      </w:r>
    </w:p>
    <w:p>
      <w:pPr>
        <w:pStyle w:val="ListBullet"/>
        <w:spacing w:after="60"/>
      </w:pPr>
      <w:r>
        <w:t>Windows F6 and Shift+F6 move between major panes. Escape dismisses menus and dialogs and restores focus to the invoking control.</w:t>
      </w:r>
    </w:p>
    <w:p>
      <w:pPr>
        <w:pStyle w:val="ListBullet"/>
        <w:spacing w:after="60"/>
      </w:pPr>
      <w:r>
        <w:t>Shift+F10 or the Menu key opens the selected appointment's context menu on Windows. More Actions provides a platform-neutral alternative.</w:t>
      </w:r>
    </w:p>
    <w:p>
      <w:pPr>
        <w:pStyle w:val="Heading2"/>
      </w:pPr>
      <w:r>
        <w:t>Touch and hybrid devices</w:t>
      </w:r>
    </w:p>
    <w:p>
      <w:r>
        <w:t>The desktop interface is optimized for mouse and keyboard rather than mobile touch. Controls must still remain comfortably selectable on touch-capable laptops and tablets. No interaction may depend exclusively on hover, right-click, or a keyboard shortcut.</w:t>
      </w:r>
    </w:p>
    <w:p>
      <w:r>
        <w:br w:type="page"/>
      </w:r>
    </w:p>
    <w:p>
      <w:pPr>
        <w:pStyle w:val="Heading1"/>
      </w:pPr>
      <w:r>
        <w:t>Authentication workflow design</w:t>
      </w:r>
    </w:p>
    <w:p>
      <w:r>
        <w:t>The updated desktop prototype adds a complete account-entry sequence at 1440 pixels. The five states use the same window frame, calm color palette, left-side product context, and right-side task card so users retain orientation while the form or confirmation state changes.</w:t>
      </w:r>
    </w:p>
    <w:p>
      <w:pPr>
        <w:pStyle w:val="Heading2"/>
      </w:pPr>
      <w:r>
        <w:t>States and navigation</w:t>
      </w:r>
    </w:p>
    <w:p>
      <w:pPr>
        <w:pStyle w:val="ListBullet"/>
      </w:pPr>
      <w:r>
        <w:t>Sign in. Collects email address and password, provides password recovery, and links to account creation.</w:t>
      </w:r>
    </w:p>
    <w:p>
      <w:pPr>
        <w:pStyle w:val="ListBullet"/>
      </w:pPr>
      <w:r>
        <w:t>Create account. Collects full name, email address, password, and password confirmation, with visible password guidance and a return path to sign in.</w:t>
      </w:r>
    </w:p>
    <w:p>
      <w:pPr>
        <w:pStyle w:val="ListBullet"/>
      </w:pPr>
      <w:r>
        <w:t>Forgot password. Collects the account email address and submits a reset-link request.</w:t>
      </w:r>
    </w:p>
    <w:p>
      <w:pPr>
        <w:pStyle w:val="ListBullet"/>
      </w:pPr>
      <w:r>
        <w:t>Reset link sent. Uses account-neutral confirmation language, provides recovery instructions, and offers Back to sign in and Try another email address actions.</w:t>
      </w:r>
    </w:p>
    <w:p>
      <w:pPr>
        <w:pStyle w:val="ListBullet"/>
      </w:pPr>
      <w:r>
        <w:t>Account created. Confirms successful registration and directs the user to sign in before opening the care workspace.</w:t>
      </w:r>
    </w:p>
    <w:p>
      <w:pPr>
        <w:pStyle w:val="Heading2"/>
      </w:pPr>
      <w:r>
        <w:t>Authentication accessibility and security behavior</w:t>
      </w:r>
    </w:p>
    <w:p>
      <w:pPr>
        <w:pStyle w:val="ListBullet"/>
      </w:pPr>
      <w:r>
        <w:t>Use native HTML labels, text fields, password fields, buttons, and links so accessible names and roles are exposed without redundant announcements.</w:t>
      </w:r>
    </w:p>
    <w:p>
      <w:pPr>
        <w:pStyle w:val="ListBullet"/>
      </w:pPr>
      <w:r>
        <w:t>Place focus on the page heading when a new authentication state opens, then follow a logical order through fields, supporting links, the primary action, and the alternate route.</w:t>
      </w:r>
    </w:p>
    <w:p>
      <w:pPr>
        <w:pStyle w:val="ListBullet"/>
      </w:pPr>
      <w:r>
        <w:t>Associate instructions and errors with their fields. On failed submission, announce an error summary and move focus to the summary or first invalid field without erasing entered data.</w:t>
      </w:r>
    </w:p>
    <w:p>
      <w:pPr>
        <w:pStyle w:val="ListBullet"/>
      </w:pPr>
      <w:r>
        <w:t>Do not identify whether an email address belongs to an account during password recovery. The generic reset confirmation shown in the design reduces account-enumeration risk.</w:t>
      </w:r>
    </w:p>
    <w:p>
      <w:pPr>
        <w:pStyle w:val="ListBullet"/>
      </w:pPr>
      <w:r>
        <w:t>Support password managers and paste. Do not block clipboard operations or require users to retype values solely for security theater.</w:t>
      </w:r>
    </w:p>
    <w:p>
      <w:pPr>
        <w:pStyle w:val="ListBullet"/>
      </w:pPr>
      <w:r>
        <w:t>At 200 and 400 percent zoom or reduced window widths, convert the two-column presentation to a readable single-column flow without clipping fields, buttons, messages, or focus outlines.</w:t>
      </w:r>
    </w:p>
    <w:p>
      <w:pPr>
        <w:pStyle w:val="ListBullet"/>
      </w:pPr>
      <w:r>
        <w:t>Use immediate, static state changes and programmatic status announcements. Authentication feedback may not flash, pulse, autoplay, or depend on animation or color alone.</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p>
      <w:pPr>
        <w:pStyle w:val="Heading1"/>
      </w:pPr>
      <w:r>
        <w:t>Desktop accessibility plan</w:t>
      </w:r>
    </w:p>
    <w:p>
      <w:pPr>
        <w:pStyle w:val="Heading2"/>
      </w:pPr>
      <w:r>
        <w:t>Keyboard-only navigation</w:t>
      </w:r>
    </w:p>
    <w:p>
      <w:r>
        <w:t>Keyboard operation covers navigation, appointment selection, search, note editing, settings, appointment creation, context actions, dialogs, menus, zoom, and window commands. Composite controls use one Tab stop with internal arrow-key navigation to avoid excessive key presses. Dialogs trap focus, begin at the first logical field, close with Escape when cancellation is safe, and return focus to the invoker. Failed form submission moves focus to the error summary or first invalid field.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944"/>
            <w:shd w:fill="0B326B"/>
            <w:tcMar>
              <w:top w:w="110" w:type="dxa"/>
              <w:start w:w="100" w:type="dxa"/>
              <w:bottom w:w="110" w:type="dxa"/>
              <w:end w:w="100" w:type="dxa"/>
            </w:tcMar>
          </w:tcPr>
          <w:p>
            <w:pPr>
              <w:jc w:val="center"/>
            </w:pPr>
            <w:r>
              <w:rPr>
                <w:b/>
                <w:color w:val="FFFFFF"/>
                <w:sz w:val="18"/>
              </w:rPr>
              <w:t>Region</w:t>
            </w:r>
          </w:p>
        </w:tc>
        <w:tc>
          <w:tcPr>
            <w:tcW w:type="dxa" w:w="3960"/>
            <w:shd w:fill="0B326B"/>
            <w:tcMar>
              <w:top w:w="110" w:type="dxa"/>
              <w:start w:w="100" w:type="dxa"/>
              <w:bottom w:w="110" w:type="dxa"/>
              <w:end w:w="100" w:type="dxa"/>
            </w:tcMar>
          </w:tcPr>
          <w:p>
            <w:pPr>
              <w:jc w:val="center"/>
            </w:pPr>
            <w:r>
              <w:rPr>
                <w:b/>
                <w:color w:val="FFFFFF"/>
                <w:sz w:val="18"/>
              </w:rPr>
              <w:t>Entry and movement</w:t>
            </w:r>
          </w:p>
        </w:tc>
        <w:tc>
          <w:tcPr>
            <w:tcW w:type="dxa" w:w="3816"/>
            <w:shd w:fill="0B326B"/>
            <w:tcMar>
              <w:top w:w="110" w:type="dxa"/>
              <w:start w:w="100" w:type="dxa"/>
              <w:bottom w:w="110" w:type="dxa"/>
              <w:end w:w="100" w:type="dxa"/>
            </w:tcMar>
          </w:tcPr>
          <w:p>
            <w:pPr>
              <w:jc w:val="center"/>
            </w:pPr>
            <w:r>
              <w:rPr>
                <w:b/>
                <w:color w:val="FFFFFF"/>
                <w:sz w:val="18"/>
              </w:rPr>
              <w:t>Activation and exit</w:t>
            </w:r>
          </w:p>
        </w:tc>
      </w:tr>
      <w:tr>
        <w:tc>
          <w:tcPr>
            <w:tcW w:type="dxa" w:w="1944"/>
            <w:tcMar>
              <w:top w:w="95" w:type="dxa"/>
              <w:start w:w="95" w:type="dxa"/>
              <w:bottom w:w="95" w:type="dxa"/>
              <w:end w:w="95" w:type="dxa"/>
            </w:tcMar>
            <w:vAlign w:val="center"/>
          </w:tcPr>
          <w:p>
            <w:pPr>
              <w:spacing w:after="0"/>
            </w:pPr>
            <w:r>
              <w:rPr>
                <w:sz w:val="17"/>
              </w:rPr>
              <w:t>Menu bar</w:t>
            </w:r>
          </w:p>
        </w:tc>
        <w:tc>
          <w:tcPr>
            <w:tcW w:type="dxa" w:w="3960"/>
            <w:tcMar>
              <w:top w:w="95" w:type="dxa"/>
              <w:start w:w="95" w:type="dxa"/>
              <w:bottom w:w="95" w:type="dxa"/>
              <w:end w:w="95" w:type="dxa"/>
            </w:tcMar>
            <w:vAlign w:val="center"/>
          </w:tcPr>
          <w:p>
            <w:pPr>
              <w:spacing w:after="0"/>
            </w:pPr>
            <w:r>
              <w:rPr>
                <w:sz w:val="17"/>
              </w:rPr>
              <w:t>Alt or F10 on Windows; arrows between menus and items</w:t>
            </w:r>
          </w:p>
        </w:tc>
        <w:tc>
          <w:tcPr>
            <w:tcW w:type="dxa" w:w="3816"/>
            <w:tcMar>
              <w:top w:w="95" w:type="dxa"/>
              <w:start w:w="95" w:type="dxa"/>
              <w:bottom w:w="95" w:type="dxa"/>
              <w:end w:w="95" w:type="dxa"/>
            </w:tcMar>
            <w:vAlign w:val="center"/>
          </w:tcPr>
          <w:p>
            <w:pPr>
              <w:spacing w:after="0"/>
            </w:pPr>
            <w:r>
              <w:rPr>
                <w:sz w:val="17"/>
              </w:rPr>
              <w:t>Enter activates; Escape closes and restores focus</w:t>
            </w:r>
          </w:p>
        </w:tc>
      </w:tr>
      <w:tr>
        <w:tc>
          <w:tcPr>
            <w:tcW w:type="dxa" w:w="1944"/>
            <w:shd w:fill="EEF5FB"/>
            <w:tcMar>
              <w:top w:w="95" w:type="dxa"/>
              <w:start w:w="95" w:type="dxa"/>
              <w:bottom w:w="95" w:type="dxa"/>
              <w:end w:w="95" w:type="dxa"/>
            </w:tcMar>
            <w:vAlign w:val="center"/>
          </w:tcPr>
          <w:p>
            <w:pPr>
              <w:spacing w:after="0"/>
            </w:pPr>
            <w:r>
              <w:rPr>
                <w:sz w:val="17"/>
              </w:rPr>
              <w:t>Sidebar</w:t>
            </w:r>
          </w:p>
        </w:tc>
        <w:tc>
          <w:tcPr>
            <w:tcW w:type="dxa" w:w="3960"/>
            <w:shd w:fill="EEF5FB"/>
            <w:tcMar>
              <w:top w:w="95" w:type="dxa"/>
              <w:start w:w="95" w:type="dxa"/>
              <w:bottom w:w="95" w:type="dxa"/>
              <w:end w:w="95" w:type="dxa"/>
            </w:tcMar>
            <w:vAlign w:val="center"/>
          </w:tcPr>
          <w:p>
            <w:pPr>
              <w:spacing w:after="0"/>
            </w:pPr>
            <w:r>
              <w:rPr>
                <w:sz w:val="17"/>
              </w:rPr>
              <w:t>Tab enters; arrows move between destinations</w:t>
            </w:r>
          </w:p>
        </w:tc>
        <w:tc>
          <w:tcPr>
            <w:tcW w:type="dxa" w:w="3816"/>
            <w:shd w:fill="EEF5FB"/>
            <w:tcMar>
              <w:top w:w="95" w:type="dxa"/>
              <w:start w:w="95" w:type="dxa"/>
              <w:bottom w:w="95" w:type="dxa"/>
              <w:end w:w="95" w:type="dxa"/>
            </w:tcMar>
            <w:vAlign w:val="center"/>
          </w:tcPr>
          <w:p>
            <w:pPr>
              <w:spacing w:after="0"/>
            </w:pPr>
            <w:r>
              <w:rPr>
                <w:sz w:val="17"/>
              </w:rPr>
              <w:t>Enter or Space selects</w:t>
            </w:r>
          </w:p>
        </w:tc>
      </w:tr>
      <w:tr>
        <w:tc>
          <w:tcPr>
            <w:tcW w:type="dxa" w:w="1944"/>
            <w:tcMar>
              <w:top w:w="95" w:type="dxa"/>
              <w:start w:w="95" w:type="dxa"/>
              <w:bottom w:w="95" w:type="dxa"/>
              <w:end w:w="95" w:type="dxa"/>
            </w:tcMar>
            <w:vAlign w:val="center"/>
          </w:tcPr>
          <w:p>
            <w:pPr>
              <w:spacing w:after="0"/>
            </w:pPr>
            <w:r>
              <w:rPr>
                <w:sz w:val="17"/>
              </w:rPr>
              <w:t>Toolbar</w:t>
            </w:r>
          </w:p>
        </w:tc>
        <w:tc>
          <w:tcPr>
            <w:tcW w:type="dxa" w:w="3960"/>
            <w:tcMar>
              <w:top w:w="95" w:type="dxa"/>
              <w:start w:w="95" w:type="dxa"/>
              <w:bottom w:w="95" w:type="dxa"/>
              <w:end w:w="95" w:type="dxa"/>
            </w:tcMar>
            <w:vAlign w:val="center"/>
          </w:tcPr>
          <w:p>
            <w:pPr>
              <w:spacing w:after="0"/>
            </w:pPr>
            <w:r>
              <w:rPr>
                <w:sz w:val="17"/>
              </w:rPr>
              <w:t>Tab enters; arrows move between commands</w:t>
            </w:r>
          </w:p>
        </w:tc>
        <w:tc>
          <w:tcPr>
            <w:tcW w:type="dxa" w:w="3816"/>
            <w:tcMar>
              <w:top w:w="95" w:type="dxa"/>
              <w:start w:w="95" w:type="dxa"/>
              <w:bottom w:w="95" w:type="dxa"/>
              <w:end w:w="95" w:type="dxa"/>
            </w:tcMar>
            <w:vAlign w:val="center"/>
          </w:tcPr>
          <w:p>
            <w:pPr>
              <w:spacing w:after="0"/>
            </w:pPr>
            <w:r>
              <w:rPr>
                <w:sz w:val="17"/>
              </w:rPr>
              <w:t>Enter or Space activates</w:t>
            </w:r>
          </w:p>
        </w:tc>
      </w:tr>
      <w:tr>
        <w:tc>
          <w:tcPr>
            <w:tcW w:type="dxa" w:w="1944"/>
            <w:shd w:fill="EEF5FB"/>
            <w:tcMar>
              <w:top w:w="95" w:type="dxa"/>
              <w:start w:w="95" w:type="dxa"/>
              <w:bottom w:w="95" w:type="dxa"/>
              <w:end w:w="95" w:type="dxa"/>
            </w:tcMar>
            <w:vAlign w:val="center"/>
          </w:tcPr>
          <w:p>
            <w:pPr>
              <w:spacing w:after="0"/>
            </w:pPr>
            <w:r>
              <w:rPr>
                <w:sz w:val="17"/>
              </w:rPr>
              <w:t>Appointment list</w:t>
            </w:r>
          </w:p>
        </w:tc>
        <w:tc>
          <w:tcPr>
            <w:tcW w:type="dxa" w:w="3960"/>
            <w:shd w:fill="EEF5FB"/>
            <w:tcMar>
              <w:top w:w="95" w:type="dxa"/>
              <w:start w:w="95" w:type="dxa"/>
              <w:bottom w:w="95" w:type="dxa"/>
              <w:end w:w="95" w:type="dxa"/>
            </w:tcMar>
            <w:vAlign w:val="center"/>
          </w:tcPr>
          <w:p>
            <w:pPr>
              <w:spacing w:after="0"/>
            </w:pPr>
            <w:r>
              <w:rPr>
                <w:sz w:val="17"/>
              </w:rPr>
              <w:t>Tab enters; arrows and Home or End move through rows</w:t>
            </w:r>
          </w:p>
        </w:tc>
        <w:tc>
          <w:tcPr>
            <w:tcW w:type="dxa" w:w="3816"/>
            <w:shd w:fill="EEF5FB"/>
            <w:tcMar>
              <w:top w:w="95" w:type="dxa"/>
              <w:start w:w="95" w:type="dxa"/>
              <w:bottom w:w="95" w:type="dxa"/>
              <w:end w:w="95" w:type="dxa"/>
            </w:tcMar>
            <w:vAlign w:val="center"/>
          </w:tcPr>
          <w:p>
            <w:pPr>
              <w:spacing w:after="0"/>
            </w:pPr>
            <w:r>
              <w:rPr>
                <w:sz w:val="17"/>
              </w:rPr>
              <w:t>Enter selects; Shift+F10 opens actions</w:t>
            </w:r>
          </w:p>
        </w:tc>
      </w:tr>
      <w:tr>
        <w:tc>
          <w:tcPr>
            <w:tcW w:type="dxa" w:w="1944"/>
            <w:tcMar>
              <w:top w:w="95" w:type="dxa"/>
              <w:start w:w="95" w:type="dxa"/>
              <w:bottom w:w="95" w:type="dxa"/>
              <w:end w:w="95" w:type="dxa"/>
            </w:tcMar>
            <w:vAlign w:val="center"/>
          </w:tcPr>
          <w:p>
            <w:pPr>
              <w:spacing w:after="0"/>
            </w:pPr>
            <w:r>
              <w:rPr>
                <w:sz w:val="17"/>
              </w:rPr>
              <w:t>Dialogs</w:t>
            </w:r>
          </w:p>
        </w:tc>
        <w:tc>
          <w:tcPr>
            <w:tcW w:type="dxa" w:w="3960"/>
            <w:tcMar>
              <w:top w:w="95" w:type="dxa"/>
              <w:start w:w="95" w:type="dxa"/>
              <w:bottom w:w="95" w:type="dxa"/>
              <w:end w:w="95" w:type="dxa"/>
            </w:tcMar>
            <w:vAlign w:val="center"/>
          </w:tcPr>
          <w:p>
            <w:pPr>
              <w:spacing w:after="0"/>
            </w:pPr>
            <w:r>
              <w:rPr>
                <w:sz w:val="17"/>
              </w:rPr>
              <w:t>Initial focus on title-associated first control; Tab remains inside</w:t>
            </w:r>
          </w:p>
        </w:tc>
        <w:tc>
          <w:tcPr>
            <w:tcW w:type="dxa" w:w="3816"/>
            <w:tcMar>
              <w:top w:w="95" w:type="dxa"/>
              <w:start w:w="95" w:type="dxa"/>
              <w:bottom w:w="95" w:type="dxa"/>
              <w:end w:w="95" w:type="dxa"/>
            </w:tcMar>
            <w:vAlign w:val="center"/>
          </w:tcPr>
          <w:p>
            <w:pPr>
              <w:spacing w:after="0"/>
            </w:pPr>
            <w:r>
              <w:rPr>
                <w:sz w:val="17"/>
              </w:rPr>
              <w:t>Enter performs the appropriate default action; Escape cancels</w:t>
            </w:r>
          </w:p>
        </w:tc>
      </w:tr>
    </w:tbl>
    <w:p>
      <w:pPr>
        <w:spacing w:after="20"/>
      </w:pPr>
    </w:p>
    <w:p>
      <w:pPr>
        <w:pStyle w:val="Heading2"/>
      </w:pPr>
      <w:r>
        <w:t>Focus indicators</w:t>
      </w:r>
    </w:p>
    <w:p>
      <w:pPr>
        <w:pStyle w:val="ListBullet"/>
        <w:spacing w:after="60"/>
      </w:pPr>
      <w:r>
        <w:t>A visible 3 pixel focus outline must remain present for every keyboard-focusable element.</w:t>
      </w:r>
    </w:p>
    <w:p>
      <w:pPr>
        <w:pStyle w:val="ListBullet"/>
        <w:spacing w:after="60"/>
      </w:pPr>
      <w:r>
        <w:t>Focus and selection are separate states; selected navigation items and appointment rows have selected-focus variants.</w:t>
      </w:r>
    </w:p>
    <w:p>
      <w:pPr>
        <w:pStyle w:val="ListBullet"/>
        <w:spacing w:after="60"/>
      </w:pPr>
      <w:r>
        <w:t>Focus styling must meet at least 3 to 1 contrast against adjacent colors and may not rely on color alone.</w:t>
      </w:r>
    </w:p>
    <w:p>
      <w:pPr>
        <w:pStyle w:val="ListBullet"/>
        <w:spacing w:after="60"/>
      </w:pPr>
      <w:r>
        <w:t>Focus must remain visible when content scrolls, zoom changes, panes stack, or high-contrast mode is active.</w:t>
      </w:r>
    </w:p>
    <w:p>
      <w:pPr>
        <w:pStyle w:val="ListBullet"/>
        <w:spacing w:after="60"/>
      </w:pPr>
      <w:r>
        <w:t>Opening and closing a dialog, menu, or context menu must preserve a logical focus location.</w:t>
      </w:r>
    </w:p>
    <w:p>
      <w:pPr>
        <w:pStyle w:val="Heading2"/>
      </w:pPr>
      <w:r>
        <w:t>Screen reader support</w:t>
      </w:r>
    </w:p>
    <w:p>
      <w:r>
        <w:t>Electron renderer content should use native HTML landmarks and controls wherever possible. NVDA on Windows and VoiceOver on macOS must receive concise names, roles, values, states, and instructions. Visual grouping alone is insufficient.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880"/>
            <w:shd w:fill="0B326B"/>
            <w:tcMar>
              <w:top w:w="110" w:type="dxa"/>
              <w:start w:w="100" w:type="dxa"/>
              <w:bottom w:w="110" w:type="dxa"/>
              <w:end w:w="100" w:type="dxa"/>
            </w:tcMar>
          </w:tcPr>
          <w:p>
            <w:pPr>
              <w:jc w:val="center"/>
            </w:pPr>
            <w:r>
              <w:rPr>
                <w:b/>
                <w:color w:val="FFFFFF"/>
                <w:sz w:val="19"/>
              </w:rPr>
              <w:t>Interface element</w:t>
            </w:r>
          </w:p>
        </w:tc>
        <w:tc>
          <w:tcPr>
            <w:tcW w:type="dxa" w:w="6840"/>
            <w:shd w:fill="0B326B"/>
            <w:tcMar>
              <w:top w:w="110" w:type="dxa"/>
              <w:start w:w="100" w:type="dxa"/>
              <w:bottom w:w="110" w:type="dxa"/>
              <w:end w:w="100" w:type="dxa"/>
            </w:tcMar>
          </w:tcPr>
          <w:p>
            <w:pPr>
              <w:jc w:val="center"/>
            </w:pPr>
            <w:r>
              <w:rPr>
                <w:b/>
                <w:color w:val="FFFFFF"/>
                <w:sz w:val="19"/>
              </w:rPr>
              <w:t>Expected announcement or behavior</w:t>
            </w:r>
          </w:p>
        </w:tc>
      </w:tr>
      <w:tr>
        <w:tc>
          <w:tcPr>
            <w:tcW w:type="dxa" w:w="2880"/>
            <w:tcMar>
              <w:top w:w="95" w:type="dxa"/>
              <w:start w:w="95" w:type="dxa"/>
              <w:bottom w:w="95" w:type="dxa"/>
              <w:end w:w="95" w:type="dxa"/>
            </w:tcMar>
            <w:vAlign w:val="center"/>
          </w:tcPr>
          <w:p>
            <w:pPr>
              <w:spacing w:after="0"/>
            </w:pPr>
            <w:r>
              <w:rPr>
                <w:sz w:val="18"/>
              </w:rPr>
              <w:t>Application regions</w:t>
            </w:r>
          </w:p>
        </w:tc>
        <w:tc>
          <w:tcPr>
            <w:tcW w:type="dxa" w:w="6840"/>
            <w:tcMar>
              <w:top w:w="95" w:type="dxa"/>
              <w:start w:w="95" w:type="dxa"/>
              <w:bottom w:w="95" w:type="dxa"/>
              <w:end w:w="95" w:type="dxa"/>
            </w:tcMar>
            <w:vAlign w:val="center"/>
          </w:tcPr>
          <w:p>
            <w:pPr>
              <w:spacing w:after="0"/>
            </w:pPr>
            <w:r>
              <w:rPr>
                <w:sz w:val="18"/>
              </w:rPr>
              <w:t>Named navigation, toolbar, main content, appointment list, detail panel, and status regions</w:t>
            </w:r>
          </w:p>
        </w:tc>
      </w:tr>
      <w:tr>
        <w:tc>
          <w:tcPr>
            <w:tcW w:type="dxa" w:w="2880"/>
            <w:shd w:fill="EEF5FB"/>
            <w:tcMar>
              <w:top w:w="95" w:type="dxa"/>
              <w:start w:w="95" w:type="dxa"/>
              <w:bottom w:w="95" w:type="dxa"/>
              <w:end w:w="95" w:type="dxa"/>
            </w:tcMar>
            <w:vAlign w:val="center"/>
          </w:tcPr>
          <w:p>
            <w:pPr>
              <w:spacing w:after="0"/>
            </w:pPr>
            <w:r>
              <w:rPr>
                <w:sz w:val="18"/>
              </w:rPr>
              <w:t>Sidebar destination</w:t>
            </w:r>
          </w:p>
        </w:tc>
        <w:tc>
          <w:tcPr>
            <w:tcW w:type="dxa" w:w="6840"/>
            <w:shd w:fill="EEF5FB"/>
            <w:tcMar>
              <w:top w:w="95" w:type="dxa"/>
              <w:start w:w="95" w:type="dxa"/>
              <w:bottom w:w="95" w:type="dxa"/>
              <w:end w:w="95" w:type="dxa"/>
            </w:tcMar>
            <w:vAlign w:val="center"/>
          </w:tcPr>
          <w:p>
            <w:pPr>
              <w:spacing w:after="0"/>
            </w:pPr>
            <w:r>
              <w:rPr>
                <w:sz w:val="18"/>
              </w:rPr>
              <w:t>Name, current or selected state, and position when useful</w:t>
            </w:r>
          </w:p>
        </w:tc>
      </w:tr>
      <w:tr>
        <w:tc>
          <w:tcPr>
            <w:tcW w:type="dxa" w:w="2880"/>
            <w:tcMar>
              <w:top w:w="95" w:type="dxa"/>
              <w:start w:w="95" w:type="dxa"/>
              <w:bottom w:w="95" w:type="dxa"/>
              <w:end w:w="95" w:type="dxa"/>
            </w:tcMar>
            <w:vAlign w:val="center"/>
          </w:tcPr>
          <w:p>
            <w:pPr>
              <w:spacing w:after="0"/>
            </w:pPr>
            <w:r>
              <w:rPr>
                <w:sz w:val="18"/>
              </w:rPr>
              <w:t>Appointment row</w:t>
            </w:r>
          </w:p>
        </w:tc>
        <w:tc>
          <w:tcPr>
            <w:tcW w:type="dxa" w:w="6840"/>
            <w:tcMar>
              <w:top w:w="95" w:type="dxa"/>
              <w:start w:w="95" w:type="dxa"/>
              <w:bottom w:w="95" w:type="dxa"/>
              <w:end w:w="95" w:type="dxa"/>
            </w:tcMar>
            <w:vAlign w:val="center"/>
          </w:tcPr>
          <w:p>
            <w:pPr>
              <w:spacing w:after="0"/>
            </w:pPr>
            <w:r>
              <w:rPr>
                <w:sz w:val="18"/>
              </w:rPr>
              <w:t>Visit title, date and time, provider, selected state, and available actions</w:t>
            </w:r>
          </w:p>
        </w:tc>
      </w:tr>
      <w:tr>
        <w:tc>
          <w:tcPr>
            <w:tcW w:type="dxa" w:w="2880"/>
            <w:shd w:fill="EEF5FB"/>
            <w:tcMar>
              <w:top w:w="95" w:type="dxa"/>
              <w:start w:w="95" w:type="dxa"/>
              <w:bottom w:w="95" w:type="dxa"/>
              <w:end w:w="95" w:type="dxa"/>
            </w:tcMar>
            <w:vAlign w:val="center"/>
          </w:tcPr>
          <w:p>
            <w:pPr>
              <w:spacing w:after="0"/>
            </w:pPr>
            <w:r>
              <w:rPr>
                <w:sz w:val="18"/>
              </w:rPr>
              <w:t>Search field</w:t>
            </w:r>
          </w:p>
        </w:tc>
        <w:tc>
          <w:tcPr>
            <w:tcW w:type="dxa" w:w="6840"/>
            <w:shd w:fill="EEF5FB"/>
            <w:tcMar>
              <w:top w:w="95" w:type="dxa"/>
              <w:start w:w="95" w:type="dxa"/>
              <w:bottom w:w="95" w:type="dxa"/>
              <w:end w:w="95" w:type="dxa"/>
            </w:tcMar>
            <w:vAlign w:val="center"/>
          </w:tcPr>
          <w:p>
            <w:pPr>
              <w:spacing w:after="0"/>
            </w:pPr>
            <w:r>
              <w:rPr>
                <w:sz w:val="18"/>
              </w:rPr>
              <w:t>Persistent label, current value, search purpose, and result count or empty-result feedback</w:t>
            </w:r>
          </w:p>
        </w:tc>
      </w:tr>
      <w:tr>
        <w:tc>
          <w:tcPr>
            <w:tcW w:type="dxa" w:w="2880"/>
            <w:tcMar>
              <w:top w:w="95" w:type="dxa"/>
              <w:start w:w="95" w:type="dxa"/>
              <w:bottom w:w="95" w:type="dxa"/>
              <w:end w:w="95" w:type="dxa"/>
            </w:tcMar>
            <w:vAlign w:val="center"/>
          </w:tcPr>
          <w:p>
            <w:pPr>
              <w:spacing w:after="0"/>
            </w:pPr>
            <w:r>
              <w:rPr>
                <w:sz w:val="18"/>
              </w:rPr>
              <w:t>Form fields</w:t>
            </w:r>
          </w:p>
        </w:tc>
        <w:tc>
          <w:tcPr>
            <w:tcW w:type="dxa" w:w="6840"/>
            <w:tcMar>
              <w:top w:w="95" w:type="dxa"/>
              <w:start w:w="95" w:type="dxa"/>
              <w:bottom w:w="95" w:type="dxa"/>
              <w:end w:w="95" w:type="dxa"/>
            </w:tcMar>
            <w:vAlign w:val="center"/>
          </w:tcPr>
          <w:p>
            <w:pPr>
              <w:spacing w:after="0"/>
            </w:pPr>
            <w:r>
              <w:rPr>
                <w:sz w:val="18"/>
              </w:rPr>
              <w:t>Visible label, optional or required state, value, and specific inline error description</w:t>
            </w:r>
          </w:p>
        </w:tc>
      </w:tr>
      <w:tr>
        <w:tc>
          <w:tcPr>
            <w:tcW w:type="dxa" w:w="2880"/>
            <w:shd w:fill="EEF5FB"/>
            <w:tcMar>
              <w:top w:w="95" w:type="dxa"/>
              <w:start w:w="95" w:type="dxa"/>
              <w:bottom w:w="95" w:type="dxa"/>
              <w:end w:w="95" w:type="dxa"/>
            </w:tcMar>
            <w:vAlign w:val="center"/>
          </w:tcPr>
          <w:p>
            <w:pPr>
              <w:spacing w:after="0"/>
            </w:pPr>
            <w:r>
              <w:rPr>
                <w:sz w:val="18"/>
              </w:rPr>
              <w:t>Dialog</w:t>
            </w:r>
          </w:p>
        </w:tc>
        <w:tc>
          <w:tcPr>
            <w:tcW w:type="dxa" w:w="6840"/>
            <w:shd w:fill="EEF5FB"/>
            <w:tcMar>
              <w:top w:w="95" w:type="dxa"/>
              <w:start w:w="95" w:type="dxa"/>
              <w:bottom w:w="95" w:type="dxa"/>
              <w:end w:w="95" w:type="dxa"/>
            </w:tcMar>
            <w:vAlign w:val="center"/>
          </w:tcPr>
          <w:p>
            <w:pPr>
              <w:spacing w:after="0"/>
            </w:pPr>
            <w:r>
              <w:rPr>
                <w:sz w:val="18"/>
              </w:rPr>
              <w:t>Dialog title announced once; focus moves inside and remains contained until dismissal</w:t>
            </w:r>
          </w:p>
        </w:tc>
      </w:tr>
      <w:tr>
        <w:tc>
          <w:tcPr>
            <w:tcW w:type="dxa" w:w="2880"/>
            <w:tcMar>
              <w:top w:w="95" w:type="dxa"/>
              <w:start w:w="95" w:type="dxa"/>
              <w:bottom w:w="95" w:type="dxa"/>
              <w:end w:w="95" w:type="dxa"/>
            </w:tcMar>
            <w:vAlign w:val="center"/>
          </w:tcPr>
          <w:p>
            <w:pPr>
              <w:spacing w:after="0"/>
            </w:pPr>
            <w:r>
              <w:rPr>
                <w:sz w:val="18"/>
              </w:rPr>
              <w:t>Save or copy feedback</w:t>
            </w:r>
          </w:p>
        </w:tc>
        <w:tc>
          <w:tcPr>
            <w:tcW w:type="dxa" w:w="6840"/>
            <w:tcMar>
              <w:top w:w="95" w:type="dxa"/>
              <w:start w:w="95" w:type="dxa"/>
              <w:bottom w:w="95" w:type="dxa"/>
              <w:end w:w="95" w:type="dxa"/>
            </w:tcMar>
            <w:vAlign w:val="center"/>
          </w:tcPr>
          <w:p>
            <w:pPr>
              <w:spacing w:after="0"/>
            </w:pPr>
            <w:r>
              <w:rPr>
                <w:sz w:val="18"/>
              </w:rPr>
              <w:t>Polite live-region announcement without moving focus</w:t>
            </w:r>
          </w:p>
        </w:tc>
      </w:tr>
      <w:tr>
        <w:tc>
          <w:tcPr>
            <w:tcW w:type="dxa" w:w="2880"/>
            <w:shd w:fill="EEF5FB"/>
            <w:tcMar>
              <w:top w:w="95" w:type="dxa"/>
              <w:start w:w="95" w:type="dxa"/>
              <w:bottom w:w="95" w:type="dxa"/>
              <w:end w:w="95" w:type="dxa"/>
            </w:tcMar>
            <w:vAlign w:val="center"/>
          </w:tcPr>
          <w:p>
            <w:pPr>
              <w:spacing w:after="0"/>
            </w:pPr>
            <w:r>
              <w:rPr>
                <w:sz w:val="18"/>
              </w:rPr>
              <w:t>Disabled command</w:t>
            </w:r>
          </w:p>
        </w:tc>
        <w:tc>
          <w:tcPr>
            <w:tcW w:type="dxa" w:w="6840"/>
            <w:shd w:fill="EEF5FB"/>
            <w:tcMar>
              <w:top w:w="95" w:type="dxa"/>
              <w:start w:w="95" w:type="dxa"/>
              <w:bottom w:w="95" w:type="dxa"/>
              <w:end w:w="95" w:type="dxa"/>
            </w:tcMar>
            <w:vAlign w:val="center"/>
          </w:tcPr>
          <w:p>
            <w:pPr>
              <w:spacing w:after="0"/>
            </w:pPr>
            <w:r>
              <w:rPr>
                <w:sz w:val="18"/>
              </w:rPr>
              <w:t>Unavailable or disabled state is programmatically exposed</w:t>
            </w:r>
          </w:p>
        </w:tc>
      </w:tr>
    </w:tbl>
    <w:p>
      <w:pPr>
        <w:spacing w:after="20"/>
      </w:pPr>
    </w:p>
    <w:p>
      <w:r>
        <w:t>Manual verification must include NVDA with the supported Windows build and VoiceOver with the supported macOS build. The Figma prototype communicates intended behavior but cannot certify native menu announcements, focus events, live regions, or assistive-technology compatibility.</w:t>
      </w:r>
    </w:p>
    <w:p>
      <w:pPr>
        <w:pStyle w:val="Heading2"/>
      </w:pPr>
      <w:r>
        <w:t>High contrast mode</w:t>
      </w:r>
    </w:p>
    <w:p>
      <w:pPr>
        <w:pStyle w:val="ListBullet"/>
        <w:spacing w:after="60"/>
      </w:pPr>
      <w:r>
        <w:t>Honor Windows forced-colors mode by using system color values for text, backgrounds, borders, selection, and focus.</w:t>
      </w:r>
    </w:p>
    <w:p>
      <w:pPr>
        <w:pStyle w:val="ListBullet"/>
        <w:spacing w:after="60"/>
      </w:pPr>
      <w:r>
        <w:t>Honor macOS Increase Contrast and Differentiate Without Color preferences.</w:t>
      </w:r>
    </w:p>
    <w:p>
      <w:pPr>
        <w:pStyle w:val="ListBullet"/>
        <w:spacing w:after="60"/>
      </w:pPr>
      <w:r>
        <w:t>Do not use shadows, color, or muted tint as the only way to identify focus, selection, error, or status.</w:t>
      </w:r>
    </w:p>
    <w:p>
      <w:pPr>
        <w:pStyle w:val="ListBullet"/>
        <w:spacing w:after="60"/>
      </w:pPr>
      <w:r>
        <w:t>Retain boundaries around fields, buttons, panels, and dialogs when author colors are overridden.</w:t>
      </w:r>
    </w:p>
    <w:p>
      <w:pPr>
        <w:pStyle w:val="ListBullet"/>
        <w:spacing w:after="60"/>
      </w:pPr>
      <w:r>
        <w:t>The documented palette provides strong default contrast, including text on white at 14.64 to 1 and the focus token on white at 5.05 to 1. Teal on the muted surface is 4.25 to 1, so normal-size labels on that surface must use the darker text token.</w:t>
      </w:r>
    </w:p>
    <w:p>
      <w:pPr>
        <w:pStyle w:val="Heading2"/>
      </w:pPr>
      <w:r>
        <w:t>Zoom and reflow</w:t>
      </w:r>
    </w:p>
    <w:p>
      <w:pPr>
        <w:pStyle w:val="ListBullet"/>
        <w:spacing w:after="60"/>
      </w:pPr>
      <w:r>
        <w:t>Support browser or application zoom at 100, 200, and 400 percent without loss of content or function.</w:t>
      </w:r>
    </w:p>
    <w:p>
      <w:pPr>
        <w:pStyle w:val="ListBullet"/>
        <w:spacing w:after="60"/>
      </w:pPr>
      <w:r>
        <w:t>At reduced window widths and high zoom, the sidebar may collapse or move, list and detail panels stack, and toolbar actions wrap.</w:t>
      </w:r>
    </w:p>
    <w:p>
      <w:pPr>
        <w:pStyle w:val="ListBullet"/>
        <w:spacing w:after="60"/>
      </w:pPr>
      <w:r>
        <w:t>All controls remain reachable through vertical scrolling; horizontal scrolling is avoided for primary reading and operation.</w:t>
      </w:r>
    </w:p>
    <w:p>
      <w:pPr>
        <w:pStyle w:val="ListBullet"/>
        <w:spacing w:after="60"/>
      </w:pPr>
      <w:r>
        <w:t>Focused controls must not be clipped by fixed headers, status bars, modal boundaries, or scroll containers.</w:t>
      </w:r>
    </w:p>
    <w:p>
      <w:pPr>
        <w:pStyle w:val="ListBullet"/>
        <w:spacing w:after="60"/>
      </w:pPr>
      <w:r>
        <w:t>The 720 pixel Figma specimen illustrates the intended stacking behavior but does not replace runtime zoom testing.</w:t>
      </w:r>
    </w:p>
    <w:p>
      <w:pPr>
        <w:pStyle w:val="Heading2"/>
      </w:pPr>
      <w:r>
        <w:t>Photosensitive epilepsy safeguards</w:t>
      </w:r>
    </w:p>
    <w:p>
      <w:pPr>
        <w:pStyle w:val="ListBullet"/>
        <w:spacing w:after="60"/>
      </w:pPr>
      <w:r>
        <w:t>No flashing, strobing, autoplay, or pulsing interface effects.</w:t>
      </w:r>
    </w:p>
    <w:p>
      <w:pPr>
        <w:pStyle w:val="ListBullet"/>
        <w:spacing w:after="60"/>
      </w:pPr>
      <w:r>
        <w:t>Reduced-motion preferences are honored; essential state changes use static text, borders, icons, and optional nonvisual announcements.</w:t>
      </w:r>
    </w:p>
    <w:p>
      <w:pPr>
        <w:pStyle w:val="ListBullet"/>
        <w:spacing w:after="60"/>
      </w:pPr>
      <w:r>
        <w:t>Animation is never the sole status cue, and no content begins moving automatically.</w:t>
      </w:r>
    </w:p>
    <w:p>
      <w:pPr>
        <w:pStyle w:val="ListBullet"/>
        <w:spacing w:after="60"/>
      </w:pPr>
      <w:r>
        <w:t>Focus transitions and feedback remain immediate and stable rather than animated across large distances.</w:t>
      </w:r>
    </w:p>
    <w:p>
      <w:r>
        <w:br w:type="page"/>
      </w:r>
    </w:p>
    <w:p>
      <w:pPr>
        <w:pStyle w:val="Heading1"/>
      </w:pPr>
      <w:r>
        <w:t>Platform-specific considerations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1656"/>
            <w:shd w:fill="0B326B"/>
            <w:tcMar>
              <w:top w:w="110" w:type="dxa"/>
              <w:start w:w="100" w:type="dxa"/>
              <w:bottom w:w="110" w:type="dxa"/>
              <w:end w:w="100" w:type="dxa"/>
            </w:tcMar>
          </w:tcPr>
          <w:p>
            <w:pPr>
              <w:jc w:val="center"/>
            </w:pPr>
            <w:r>
              <w:rPr>
                <w:b/>
                <w:color w:val="FFFFFF"/>
                <w:sz w:val="18"/>
              </w:rPr>
              <w:t>Area</w:t>
            </w:r>
          </w:p>
        </w:tc>
        <w:tc>
          <w:tcPr>
            <w:tcW w:type="dxa" w:w="2664"/>
            <w:shd w:fill="0B326B"/>
            <w:tcMar>
              <w:top w:w="110" w:type="dxa"/>
              <w:start w:w="100" w:type="dxa"/>
              <w:bottom w:w="110" w:type="dxa"/>
              <w:end w:w="100" w:type="dxa"/>
            </w:tcMar>
          </w:tcPr>
          <w:p>
            <w:pPr>
              <w:jc w:val="center"/>
            </w:pPr>
            <w:r>
              <w:rPr>
                <w:b/>
                <w:color w:val="FFFFFF"/>
                <w:sz w:val="18"/>
              </w:rPr>
              <w:t>Windows</w:t>
            </w:r>
          </w:p>
        </w:tc>
        <w:tc>
          <w:tcPr>
            <w:tcW w:type="dxa" w:w="2736"/>
            <w:shd w:fill="0B326B"/>
            <w:tcMar>
              <w:top w:w="110" w:type="dxa"/>
              <w:start w:w="100" w:type="dxa"/>
              <w:bottom w:w="110" w:type="dxa"/>
              <w:end w:w="100" w:type="dxa"/>
            </w:tcMar>
          </w:tcPr>
          <w:p>
            <w:pPr>
              <w:jc w:val="center"/>
            </w:pPr>
            <w:r>
              <w:rPr>
                <w:b/>
                <w:color w:val="FFFFFF"/>
                <w:sz w:val="18"/>
              </w:rPr>
              <w:t>macOS</w:t>
            </w:r>
          </w:p>
        </w:tc>
        <w:tc>
          <w:tcPr>
            <w:tcW w:type="dxa" w:w="2664"/>
            <w:shd w:fill="0B326B"/>
            <w:tcMar>
              <w:top w:w="110" w:type="dxa"/>
              <w:start w:w="100" w:type="dxa"/>
              <w:bottom w:w="110" w:type="dxa"/>
              <w:end w:w="100" w:type="dxa"/>
            </w:tcMar>
          </w:tcPr>
          <w:p>
            <w:pPr>
              <w:jc w:val="center"/>
            </w:pPr>
            <w:r>
              <w:rPr>
                <w:b/>
                <w:color w:val="FFFFFF"/>
                <w:sz w:val="18"/>
              </w:rPr>
              <w:t>Linux</w:t>
            </w:r>
          </w:p>
        </w:tc>
      </w:tr>
      <w:tr>
        <w:tc>
          <w:tcPr>
            <w:tcW w:type="dxa" w:w="1656"/>
            <w:tcMar>
              <w:top w:w="95" w:type="dxa"/>
              <w:start w:w="95" w:type="dxa"/>
              <w:bottom w:w="95" w:type="dxa"/>
              <w:end w:w="95" w:type="dxa"/>
            </w:tcMar>
            <w:vAlign w:val="center"/>
          </w:tcPr>
          <w:p>
            <w:pPr>
              <w:spacing w:after="0"/>
            </w:pPr>
            <w:r>
              <w:rPr>
                <w:sz w:val="17"/>
              </w:rPr>
              <w:t>Window chrome</w:t>
            </w:r>
          </w:p>
        </w:tc>
        <w:tc>
          <w:tcPr>
            <w:tcW w:type="dxa" w:w="2664"/>
            <w:tcMar>
              <w:top w:w="95" w:type="dxa"/>
              <w:start w:w="95" w:type="dxa"/>
              <w:bottom w:w="95" w:type="dxa"/>
              <w:end w:w="95" w:type="dxa"/>
            </w:tcMar>
            <w:vAlign w:val="center"/>
          </w:tcPr>
          <w:p>
            <w:pPr>
              <w:spacing w:after="0"/>
            </w:pPr>
            <w:r>
              <w:rPr>
                <w:sz w:val="17"/>
              </w:rPr>
              <w:t>Caption controls on the right; Alt+F4 closes</w:t>
            </w:r>
          </w:p>
        </w:tc>
        <w:tc>
          <w:tcPr>
            <w:tcW w:type="dxa" w:w="2736"/>
            <w:tcMar>
              <w:top w:w="95" w:type="dxa"/>
              <w:start w:w="95" w:type="dxa"/>
              <w:bottom w:w="95" w:type="dxa"/>
              <w:end w:w="95" w:type="dxa"/>
            </w:tcMar>
            <w:vAlign w:val="center"/>
          </w:tcPr>
          <w:p>
            <w:pPr>
              <w:spacing w:after="0"/>
            </w:pPr>
            <w:r>
              <w:rPr>
                <w:sz w:val="17"/>
              </w:rPr>
              <w:t>Traffic-light controls on the left; closing the last window does not necessarily quit</w:t>
            </w:r>
          </w:p>
        </w:tc>
        <w:tc>
          <w:tcPr>
            <w:tcW w:type="dxa" w:w="2664"/>
            <w:tcMar>
              <w:top w:w="95" w:type="dxa"/>
              <w:start w:w="95" w:type="dxa"/>
              <w:bottom w:w="95" w:type="dxa"/>
              <w:end w:w="95" w:type="dxa"/>
            </w:tcMar>
            <w:vAlign w:val="center"/>
          </w:tcPr>
          <w:p>
            <w:pPr>
              <w:spacing w:after="0"/>
            </w:pPr>
            <w:r>
              <w:rPr>
                <w:sz w:val="17"/>
              </w:rPr>
              <w:t>Use native window-manager decorations</w:t>
            </w:r>
          </w:p>
        </w:tc>
      </w:tr>
      <w:tr>
        <w:tc>
          <w:tcPr>
            <w:tcW w:type="dxa" w:w="1656"/>
            <w:shd w:fill="EEF5FB"/>
            <w:tcMar>
              <w:top w:w="95" w:type="dxa"/>
              <w:start w:w="95" w:type="dxa"/>
              <w:bottom w:w="95" w:type="dxa"/>
              <w:end w:w="95" w:type="dxa"/>
            </w:tcMar>
            <w:vAlign w:val="center"/>
          </w:tcPr>
          <w:p>
            <w:pPr>
              <w:spacing w:after="0"/>
            </w:pPr>
            <w:r>
              <w:rPr>
                <w:sz w:val="17"/>
              </w:rPr>
              <w:t>Application menu</w:t>
            </w:r>
          </w:p>
        </w:tc>
        <w:tc>
          <w:tcPr>
            <w:tcW w:type="dxa" w:w="2664"/>
            <w:shd w:fill="EEF5FB"/>
            <w:tcMar>
              <w:top w:w="95" w:type="dxa"/>
              <w:start w:w="95" w:type="dxa"/>
              <w:bottom w:w="95" w:type="dxa"/>
              <w:end w:w="95" w:type="dxa"/>
            </w:tcMar>
            <w:vAlign w:val="center"/>
          </w:tcPr>
          <w:p>
            <w:pPr>
              <w:spacing w:after="0"/>
            </w:pPr>
            <w:r>
              <w:rPr>
                <w:sz w:val="17"/>
              </w:rPr>
              <w:t>Menu bar inside the application window</w:t>
            </w:r>
          </w:p>
        </w:tc>
        <w:tc>
          <w:tcPr>
            <w:tcW w:type="dxa" w:w="2736"/>
            <w:shd w:fill="EEF5FB"/>
            <w:tcMar>
              <w:top w:w="95" w:type="dxa"/>
              <w:start w:w="95" w:type="dxa"/>
              <w:bottom w:w="95" w:type="dxa"/>
              <w:end w:w="95" w:type="dxa"/>
            </w:tcMar>
            <w:vAlign w:val="center"/>
          </w:tcPr>
          <w:p>
            <w:pPr>
              <w:spacing w:after="0"/>
            </w:pPr>
            <w:r>
              <w:rPr>
                <w:sz w:val="17"/>
              </w:rPr>
              <w:t>System menu bar outside the application window</w:t>
            </w:r>
          </w:p>
        </w:tc>
        <w:tc>
          <w:tcPr>
            <w:tcW w:type="dxa" w:w="2664"/>
            <w:shd w:fill="EEF5FB"/>
            <w:tcMar>
              <w:top w:w="95" w:type="dxa"/>
              <w:start w:w="95" w:type="dxa"/>
              <w:bottom w:w="95" w:type="dxa"/>
              <w:end w:w="95" w:type="dxa"/>
            </w:tcMar>
            <w:vAlign w:val="center"/>
          </w:tcPr>
          <w:p>
            <w:pPr>
              <w:spacing w:after="0"/>
            </w:pPr>
            <w:r>
              <w:rPr>
                <w:sz w:val="17"/>
              </w:rPr>
              <w:t>Desktop-environment convention; retain File, Edit, View, Window, Help</w:t>
            </w:r>
          </w:p>
        </w:tc>
      </w:tr>
      <w:tr>
        <w:tc>
          <w:tcPr>
            <w:tcW w:type="dxa" w:w="1656"/>
            <w:tcMar>
              <w:top w:w="95" w:type="dxa"/>
              <w:start w:w="95" w:type="dxa"/>
              <w:bottom w:w="95" w:type="dxa"/>
              <w:end w:w="95" w:type="dxa"/>
            </w:tcMar>
            <w:vAlign w:val="center"/>
          </w:tcPr>
          <w:p>
            <w:pPr>
              <w:spacing w:after="0"/>
            </w:pPr>
            <w:r>
              <w:rPr>
                <w:sz w:val="17"/>
              </w:rPr>
              <w:t>Shortcut modifier</w:t>
            </w:r>
          </w:p>
        </w:tc>
        <w:tc>
          <w:tcPr>
            <w:tcW w:type="dxa" w:w="2664"/>
            <w:tcMar>
              <w:top w:w="95" w:type="dxa"/>
              <w:start w:w="95" w:type="dxa"/>
              <w:bottom w:w="95" w:type="dxa"/>
              <w:end w:w="95" w:type="dxa"/>
            </w:tcMar>
            <w:vAlign w:val="center"/>
          </w:tcPr>
          <w:p>
            <w:pPr>
              <w:spacing w:after="0"/>
            </w:pPr>
            <w:r>
              <w:rPr>
                <w:sz w:val="17"/>
              </w:rPr>
              <w:t>Ctrl for application actions</w:t>
            </w:r>
          </w:p>
        </w:tc>
        <w:tc>
          <w:tcPr>
            <w:tcW w:type="dxa" w:w="2736"/>
            <w:tcMar>
              <w:top w:w="95" w:type="dxa"/>
              <w:start w:w="95" w:type="dxa"/>
              <w:bottom w:w="95" w:type="dxa"/>
              <w:end w:w="95" w:type="dxa"/>
            </w:tcMar>
            <w:vAlign w:val="center"/>
          </w:tcPr>
          <w:p>
            <w:pPr>
              <w:spacing w:after="0"/>
            </w:pPr>
            <w:r>
              <w:rPr>
                <w:sz w:val="17"/>
              </w:rPr>
              <w:t>Command for application actions</w:t>
            </w:r>
          </w:p>
        </w:tc>
        <w:tc>
          <w:tcPr>
            <w:tcW w:type="dxa" w:w="2664"/>
            <w:tcMar>
              <w:top w:w="95" w:type="dxa"/>
              <w:start w:w="95" w:type="dxa"/>
              <w:bottom w:w="95" w:type="dxa"/>
              <w:end w:w="95" w:type="dxa"/>
            </w:tcMar>
            <w:vAlign w:val="center"/>
          </w:tcPr>
          <w:p>
            <w:pPr>
              <w:spacing w:after="0"/>
            </w:pPr>
            <w:r>
              <w:rPr>
                <w:sz w:val="17"/>
              </w:rPr>
              <w:t>Ctrl for application actions</w:t>
            </w:r>
          </w:p>
        </w:tc>
      </w:tr>
      <w:tr>
        <w:tc>
          <w:tcPr>
            <w:tcW w:type="dxa" w:w="1656"/>
            <w:shd w:fill="EEF5FB"/>
            <w:tcMar>
              <w:top w:w="95" w:type="dxa"/>
              <w:start w:w="95" w:type="dxa"/>
              <w:bottom w:w="95" w:type="dxa"/>
              <w:end w:w="95" w:type="dxa"/>
            </w:tcMar>
            <w:vAlign w:val="center"/>
          </w:tcPr>
          <w:p>
            <w:pPr>
              <w:spacing w:after="0"/>
            </w:pPr>
            <w:r>
              <w:rPr>
                <w:sz w:val="17"/>
              </w:rPr>
              <w:t>Redo</w:t>
            </w:r>
          </w:p>
        </w:tc>
        <w:tc>
          <w:tcPr>
            <w:tcW w:type="dxa" w:w="2664"/>
            <w:shd w:fill="EEF5FB"/>
            <w:tcMar>
              <w:top w:w="95" w:type="dxa"/>
              <w:start w:w="95" w:type="dxa"/>
              <w:bottom w:w="95" w:type="dxa"/>
              <w:end w:w="95" w:type="dxa"/>
            </w:tcMar>
            <w:vAlign w:val="center"/>
          </w:tcPr>
          <w:p>
            <w:pPr>
              <w:spacing w:after="0"/>
            </w:pPr>
            <w:r>
              <w:rPr>
                <w:sz w:val="17"/>
              </w:rPr>
              <w:t>Ctrl+Y</w:t>
            </w:r>
          </w:p>
        </w:tc>
        <w:tc>
          <w:tcPr>
            <w:tcW w:type="dxa" w:w="2736"/>
            <w:shd w:fill="EEF5FB"/>
            <w:tcMar>
              <w:top w:w="95" w:type="dxa"/>
              <w:start w:w="95" w:type="dxa"/>
              <w:bottom w:w="95" w:type="dxa"/>
              <w:end w:w="95" w:type="dxa"/>
            </w:tcMar>
            <w:vAlign w:val="center"/>
          </w:tcPr>
          <w:p>
            <w:pPr>
              <w:spacing w:after="0"/>
            </w:pPr>
            <w:r>
              <w:rPr>
                <w:sz w:val="17"/>
              </w:rPr>
              <w:t>Shift+Command+Z</w:t>
            </w:r>
          </w:p>
        </w:tc>
        <w:tc>
          <w:tcPr>
            <w:tcW w:type="dxa" w:w="2664"/>
            <w:shd w:fill="EEF5FB"/>
            <w:tcMar>
              <w:top w:w="95" w:type="dxa"/>
              <w:start w:w="95" w:type="dxa"/>
              <w:bottom w:w="95" w:type="dxa"/>
              <w:end w:w="95" w:type="dxa"/>
            </w:tcMar>
            <w:vAlign w:val="center"/>
          </w:tcPr>
          <w:p>
            <w:pPr>
              <w:spacing w:after="0"/>
            </w:pPr>
            <w:r>
              <w:rPr>
                <w:sz w:val="17"/>
              </w:rPr>
              <w:t>Ctrl+Y unless desktop convention requires otherwise</w:t>
            </w:r>
          </w:p>
        </w:tc>
      </w:tr>
      <w:tr>
        <w:tc>
          <w:tcPr>
            <w:tcW w:type="dxa" w:w="1656"/>
            <w:tcMar>
              <w:top w:w="95" w:type="dxa"/>
              <w:start w:w="95" w:type="dxa"/>
              <w:bottom w:w="95" w:type="dxa"/>
              <w:end w:w="95" w:type="dxa"/>
            </w:tcMar>
            <w:vAlign w:val="center"/>
          </w:tcPr>
          <w:p>
            <w:pPr>
              <w:spacing w:after="0"/>
            </w:pPr>
            <w:r>
              <w:rPr>
                <w:sz w:val="17"/>
              </w:rPr>
              <w:t>Settings</w:t>
            </w:r>
          </w:p>
        </w:tc>
        <w:tc>
          <w:tcPr>
            <w:tcW w:type="dxa" w:w="2664"/>
            <w:tcMar>
              <w:top w:w="95" w:type="dxa"/>
              <w:start w:w="95" w:type="dxa"/>
              <w:bottom w:w="95" w:type="dxa"/>
              <w:end w:w="95" w:type="dxa"/>
            </w:tcMar>
            <w:vAlign w:val="center"/>
          </w:tcPr>
          <w:p>
            <w:pPr>
              <w:spacing w:after="0"/>
            </w:pPr>
            <w:r>
              <w:rPr>
                <w:sz w:val="17"/>
              </w:rPr>
              <w:t>Ctrl+comma under Edit</w:t>
            </w:r>
          </w:p>
        </w:tc>
        <w:tc>
          <w:tcPr>
            <w:tcW w:type="dxa" w:w="2736"/>
            <w:tcMar>
              <w:top w:w="95" w:type="dxa"/>
              <w:start w:w="95" w:type="dxa"/>
              <w:bottom w:w="95" w:type="dxa"/>
              <w:end w:w="95" w:type="dxa"/>
            </w:tcMar>
            <w:vAlign w:val="center"/>
          </w:tcPr>
          <w:p>
            <w:pPr>
              <w:spacing w:after="0"/>
            </w:pPr>
            <w:r>
              <w:rPr>
                <w:sz w:val="17"/>
              </w:rPr>
              <w:t>Command+comma under CareConnect application menu</w:t>
            </w:r>
          </w:p>
        </w:tc>
        <w:tc>
          <w:tcPr>
            <w:tcW w:type="dxa" w:w="2664"/>
            <w:tcMar>
              <w:top w:w="95" w:type="dxa"/>
              <w:start w:w="95" w:type="dxa"/>
              <w:bottom w:w="95" w:type="dxa"/>
              <w:end w:w="95" w:type="dxa"/>
            </w:tcMar>
            <w:vAlign w:val="center"/>
          </w:tcPr>
          <w:p>
            <w:pPr>
              <w:spacing w:after="0"/>
            </w:pPr>
            <w:r>
              <w:rPr>
                <w:sz w:val="17"/>
              </w:rPr>
              <w:t>Ctrl+comma under Edit</w:t>
            </w:r>
          </w:p>
        </w:tc>
      </w:tr>
      <w:tr>
        <w:tc>
          <w:tcPr>
            <w:tcW w:type="dxa" w:w="1656"/>
            <w:shd w:fill="EEF5FB"/>
            <w:tcMar>
              <w:top w:w="95" w:type="dxa"/>
              <w:start w:w="95" w:type="dxa"/>
              <w:bottom w:w="95" w:type="dxa"/>
              <w:end w:w="95" w:type="dxa"/>
            </w:tcMar>
            <w:vAlign w:val="center"/>
          </w:tcPr>
          <w:p>
            <w:pPr>
              <w:spacing w:after="0"/>
            </w:pPr>
            <w:r>
              <w:rPr>
                <w:sz w:val="17"/>
              </w:rPr>
              <w:t>Context actions</w:t>
            </w:r>
          </w:p>
        </w:tc>
        <w:tc>
          <w:tcPr>
            <w:tcW w:type="dxa" w:w="2664"/>
            <w:shd w:fill="EEF5FB"/>
            <w:tcMar>
              <w:top w:w="95" w:type="dxa"/>
              <w:start w:w="95" w:type="dxa"/>
              <w:bottom w:w="95" w:type="dxa"/>
              <w:end w:w="95" w:type="dxa"/>
            </w:tcMar>
            <w:vAlign w:val="center"/>
          </w:tcPr>
          <w:p>
            <w:pPr>
              <w:spacing w:after="0"/>
            </w:pPr>
            <w:r>
              <w:rPr>
                <w:sz w:val="17"/>
              </w:rPr>
              <w:t>Shift+F10 or Menu key plus More Actions</w:t>
            </w:r>
          </w:p>
        </w:tc>
        <w:tc>
          <w:tcPr>
            <w:tcW w:type="dxa" w:w="2736"/>
            <w:shd w:fill="EEF5FB"/>
            <w:tcMar>
              <w:top w:w="95" w:type="dxa"/>
              <w:start w:w="95" w:type="dxa"/>
              <w:bottom w:w="95" w:type="dxa"/>
              <w:end w:w="95" w:type="dxa"/>
            </w:tcMar>
            <w:vAlign w:val="center"/>
          </w:tcPr>
          <w:p>
            <w:pPr>
              <w:spacing w:after="0"/>
            </w:pPr>
            <w:r>
              <w:rPr>
                <w:sz w:val="17"/>
              </w:rPr>
              <w:t>More Actions and supported secondary click</w:t>
            </w:r>
          </w:p>
        </w:tc>
        <w:tc>
          <w:tcPr>
            <w:tcW w:type="dxa" w:w="2664"/>
            <w:shd w:fill="EEF5FB"/>
            <w:tcMar>
              <w:top w:w="95" w:type="dxa"/>
              <w:start w:w="95" w:type="dxa"/>
              <w:bottom w:w="95" w:type="dxa"/>
              <w:end w:w="95" w:type="dxa"/>
            </w:tcMar>
            <w:vAlign w:val="center"/>
          </w:tcPr>
          <w:p>
            <w:pPr>
              <w:spacing w:after="0"/>
            </w:pPr>
            <w:r>
              <w:rPr>
                <w:sz w:val="17"/>
              </w:rPr>
              <w:t>Shift+F10 where supported plus More Actions</w:t>
            </w:r>
          </w:p>
        </w:tc>
      </w:tr>
      <w:tr>
        <w:tc>
          <w:tcPr>
            <w:tcW w:type="dxa" w:w="1656"/>
            <w:tcMar>
              <w:top w:w="95" w:type="dxa"/>
              <w:start w:w="95" w:type="dxa"/>
              <w:bottom w:w="95" w:type="dxa"/>
              <w:end w:w="95" w:type="dxa"/>
            </w:tcMar>
            <w:vAlign w:val="center"/>
          </w:tcPr>
          <w:p>
            <w:pPr>
              <w:spacing w:after="0"/>
            </w:pPr>
            <w:r>
              <w:rPr>
                <w:sz w:val="17"/>
              </w:rPr>
              <w:t>Assistive technology</w:t>
            </w:r>
          </w:p>
        </w:tc>
        <w:tc>
          <w:tcPr>
            <w:tcW w:type="dxa" w:w="2664"/>
            <w:tcMar>
              <w:top w:w="95" w:type="dxa"/>
              <w:start w:w="95" w:type="dxa"/>
              <w:bottom w:w="95" w:type="dxa"/>
              <w:end w:w="95" w:type="dxa"/>
            </w:tcMar>
            <w:vAlign w:val="center"/>
          </w:tcPr>
          <w:p>
            <w:pPr>
              <w:spacing w:after="0"/>
            </w:pPr>
            <w:r>
              <w:rPr>
                <w:sz w:val="17"/>
              </w:rPr>
              <w:t>NVDA and Windows accessibility APIs</w:t>
            </w:r>
          </w:p>
        </w:tc>
        <w:tc>
          <w:tcPr>
            <w:tcW w:type="dxa" w:w="2736"/>
            <w:tcMar>
              <w:top w:w="95" w:type="dxa"/>
              <w:start w:w="95" w:type="dxa"/>
              <w:bottom w:w="95" w:type="dxa"/>
              <w:end w:w="95" w:type="dxa"/>
            </w:tcMar>
            <w:vAlign w:val="center"/>
          </w:tcPr>
          <w:p>
            <w:pPr>
              <w:spacing w:after="0"/>
            </w:pPr>
            <w:r>
              <w:rPr>
                <w:sz w:val="17"/>
              </w:rPr>
              <w:t>VoiceOver and macOS accessibility APIs</w:t>
            </w:r>
          </w:p>
        </w:tc>
        <w:tc>
          <w:tcPr>
            <w:tcW w:type="dxa" w:w="2664"/>
            <w:tcMar>
              <w:top w:w="95" w:type="dxa"/>
              <w:start w:w="95" w:type="dxa"/>
              <w:bottom w:w="95" w:type="dxa"/>
              <w:end w:w="95" w:type="dxa"/>
            </w:tcMar>
            <w:vAlign w:val="center"/>
          </w:tcPr>
          <w:p>
            <w:pPr>
              <w:spacing w:after="0"/>
            </w:pPr>
            <w:r>
              <w:rPr>
                <w:sz w:val="17"/>
              </w:rPr>
              <w:t>Validate with the selected desktop and screen-reader combination</w:t>
            </w:r>
          </w:p>
        </w:tc>
      </w:tr>
    </w:tbl>
    <w:p>
      <w:pPr>
        <w:spacing w:after="20"/>
      </w:pPr>
    </w:p>
    <w:p>
      <w:pPr>
        <w:pStyle w:val="Heading1"/>
      </w:pPr>
      <w:r>
        <w:t>Implementation acceptance criteria</w:t>
      </w:r>
    </w:p>
    <w:p>
      <w:pPr>
        <w:pStyle w:val="ListNumber"/>
        <w:spacing w:after="60"/>
      </w:pPr>
      <w:r>
        <w:t>Every visible feature can be completed with keyboard input alone.</w:t>
      </w:r>
    </w:p>
    <w:p>
      <w:pPr>
        <w:pStyle w:val="ListNumber"/>
        <w:spacing w:after="60"/>
      </w:pPr>
      <w:r>
        <w:t>Focus is always visible, follows a logical order, remains inside modal dialogs, and returns to the invoker after dismissal.</w:t>
      </w:r>
    </w:p>
    <w:p>
      <w:pPr>
        <w:pStyle w:val="ListNumber"/>
        <w:spacing w:after="60"/>
      </w:pPr>
      <w:r>
        <w:t>NVDA and VoiceOver announce meaningful names, roles, states, values, errors, and status changes.</w:t>
      </w:r>
    </w:p>
    <w:p>
      <w:pPr>
        <w:pStyle w:val="ListNumber"/>
        <w:spacing w:after="60"/>
      </w:pPr>
      <w:r>
        <w:t>Windows forced colors and macOS Increase Contrast preserve all content, controls, focus, selection, and errors.</w:t>
      </w:r>
    </w:p>
    <w:p>
      <w:pPr>
        <w:pStyle w:val="ListNumber"/>
        <w:spacing w:after="60"/>
      </w:pPr>
      <w:r>
        <w:t>At 200 and 400 percent zoom, content reflows, actions remain available, and focused controls remain visible.</w:t>
      </w:r>
    </w:p>
    <w:p>
      <w:pPr>
        <w:pStyle w:val="ListNumber"/>
        <w:spacing w:after="60"/>
      </w:pPr>
      <w:r>
        <w:t>The application contains no flashing, autoplay, strobing, or motion-only status communication.</w:t>
      </w:r>
    </w:p>
    <w:p>
      <w:pPr>
        <w:pStyle w:val="ListNumber"/>
        <w:spacing w:after="60"/>
      </w:pPr>
      <w:r>
        <w:t>Native menus, editing commands, window behavior, and shortcuts follow each supported operating system's conventions.</w:t>
      </w:r>
    </w:p>
    <w:p>
      <w:pPr>
        <w:pStyle w:val="ListNumber"/>
      </w:pPr>
      <w:r>
        <w:t>Sign in, account creation, and password recovery are fully keyboard operable and retain a visible focus indicator.</w:t>
      </w:r>
    </w:p>
    <w:p>
      <w:pPr>
        <w:pStyle w:val="ListNumber"/>
      </w:pPr>
      <w:r>
        <w:t>Authentication fields expose correct labels, instructions, required states, errors, and password-field roles to NVDA and VoiceOver.</w:t>
      </w:r>
    </w:p>
    <w:p>
      <w:pPr>
        <w:pStyle w:val="ListNumber"/>
      </w:pPr>
      <w:r>
        <w:t>Successful and unsuccessful authentication outcomes are communicated with persistent text and programmatic announcements without exposing whether a recovery email is registered.</w:t>
      </w:r>
    </w:p>
    <w:p>
      <w:pPr>
        <w:pStyle w:val="Heading1"/>
      </w:pPr>
      <w:r>
        <w:t>Known implementation limitations</w:t>
      </w:r>
    </w:p>
    <w:p>
      <w:r>
        <w:t>At the time of this document, the Electron application launches a secure static starter screen. The authentication states, account validation and recovery behavior, desktop menu system, sidebar, Dashboard, Appointments workspace, dialogs, persistence, keyboard scheme, accessibility APIs, high-contrast integration, zoom behavior, and automated tests shown in the Figma specification have not yet been implemented in the repository. These items must be built and verified before the team reports conformance.</w:t>
      </w:r>
    </w:p>
    <w:p>
      <w:pPr>
        <w:pStyle w:val="Heading1"/>
      </w:pPr>
      <w:r>
        <w:t>References</w:t>
      </w:r>
    </w:p>
    <w:p>
      <w:pPr>
        <w:pStyle w:val="ListBullet"/>
        <w:spacing w:after="60"/>
      </w:pPr>
      <w:r>
        <w:t>Flutter and React Native mobile implementations and the CareConnect Safeview desktop Figma design</w:t>
      </w:r>
    </w:p>
    <w:p>
      <w:pPr>
        <w:pStyle w:val="ListBullet"/>
        <w:spacing w:after="60"/>
      </w:pPr>
      <w:r>
        <w:t>Electron documentation: https://www.electronjs.org/docs/latest/</w:t>
      </w:r>
    </w:p>
    <w:p>
      <w:pPr>
        <w:pStyle w:val="ListBullet"/>
        <w:spacing w:after="60"/>
      </w:pPr>
      <w:r>
        <w:t>Microsoft Windows design guidance: https://learn.microsoft.com/en-us/windows/apps/design/</w:t>
      </w:r>
    </w:p>
    <w:p>
      <w:pPr>
        <w:pStyle w:val="ListBullet"/>
        <w:spacing w:after="60"/>
      </w:pPr>
      <w:r>
        <w:t>Apple Human Interface Guidelines for macOS: https://developer.apple.com/design/human-interface-guidelines/designing-for-macos</w:t>
      </w:r>
    </w:p>
    <w:p>
      <w:pPr>
        <w:pStyle w:val="ListBullet"/>
        <w:spacing w:after="60"/>
      </w:pPr>
      <w:r>
        <w:t>WCAG 2.1: https://www.w3.org/TR/WCAG21/</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5B6877"/>
        <w:sz w:val="17"/>
      </w:rPr>
      <w:t>CareConnect Desktop Accessibility and Design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CareConnect Desktop Accessibility and Design Documentation</dc:title>
  <dc:subject>CareConnect Safeview desktop design and Electron implementation planning</dc:subject>
  <dc:creator>Team 9</dc:creator>
  <cp:keywords>CareConnect, Electron, desktop, accessibility, test plan, keyboard shortcuts</cp:keywords>
  <dc:description>generated by python-docx</dc:description>
  <cp:lastModifiedBy/>
  <cp:revision>1</cp:revision>
  <dcterms:created xsi:type="dcterms:W3CDTF">2013-12-23T23:15:00Z</dcterms:created>
  <dcterms:modified xsi:type="dcterms:W3CDTF">2013-12-23T23:15:00Z</dcterms:modified>
  <cp:category/>
</cp:coreProperties>
</file>