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Диагностическая консультация при запросе на снижение веса</w:t>
      </w:r>
    </w:p>
    <w:p>
      <w:r>
        <w:t>Практический конспект для подготовки сильного консультанта и последующего проектирования AI Lead Bot</w:t>
      </w:r>
    </w:p>
    <w:p>
      <w:r>
        <w:t>Исследовательская редакция • 13 октября 2026 • Основано на открытых профессиональных руководствах и двух предоставленных концептуальных материалах проекта.</w:t>
      </w:r>
    </w:p>
    <w:p>
      <w:pPr>
        <w:pStyle w:val="Heading1"/>
      </w:pPr>
      <w:r>
        <w:t>Короткий вывод</w:t>
      </w:r>
    </w:p>
    <w:p>
      <w:r>
        <w:t>Сильный консультант не «выкапывает скрытую травму» любой ценой. Он вместе с человеком восстанавливает, что происходит, почему это может происходить, что поддерживает трудность, как она влияет на жизнь и какие изменения действительно важны. Он умеет пользоваться типичными профессиональными гипотезами, но не превращает их в чужую биографию. Самая ценная единица разговора — не вопрос и не объяснение, а проверяемое улучшение понимания.</w:t>
      </w:r>
    </w:p>
    <w:p>
      <w:r>
        <w:t>Этот материал — методика беседы и рабочая карта гипотез, а не инструкция ставить психологические или медицинские диагнозы. Нельзя исходить из того, что лишний вес всегда имеет психологическую «первопричину»: значимы физиология, лекарства, сон, доступность еды, экономика, условия работы, привычки и социальная среда.</w:t>
      </w:r>
    </w:p>
    <w:p>
      <w:pPr>
        <w:pStyle w:val="Heading1"/>
      </w:pPr>
      <w:r>
        <w:t>1. Что именно мы заимствуем из разных школ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Подход</w:t>
            </w:r>
          </w:p>
        </w:tc>
        <w:tc>
          <w:tcPr>
            <w:tcW w:type="dxa" w:w="3211"/>
          </w:tcPr>
          <w:p>
            <w:r>
              <w:t>Что берём для диагностики</w:t>
            </w:r>
          </w:p>
        </w:tc>
        <w:tc>
          <w:tcPr>
            <w:tcW w:type="dxa" w:w="3211"/>
          </w:tcPr>
          <w:p>
            <w:r>
              <w:t>Чего не переносим механически</w:t>
            </w:r>
          </w:p>
        </w:tc>
      </w:tr>
      <w:tr>
        <w:tc>
          <w:tcPr>
            <w:tcW w:type="dxa" w:w="3211"/>
          </w:tcPr>
          <w:p>
            <w:r>
              <w:t>Motivational Interviewing (мотивационное интервьюирование)</w:t>
            </w:r>
          </w:p>
        </w:tc>
        <w:tc>
          <w:tcPr>
            <w:tcW w:type="dxa" w:w="3211"/>
          </w:tcPr>
          <w:p>
            <w:r>
              <w:t>Партнёрство; отражения; работа с противоречиями и собственной мотивацией; Elicit–Provide–Elicit (спросить — сообщить — узнать реакцию).</w:t>
            </w:r>
          </w:p>
        </w:tc>
        <w:tc>
          <w:tcPr>
            <w:tcW w:type="dxa" w:w="3211"/>
          </w:tcPr>
          <w:p>
            <w:r>
              <w:t>Не превращаем каждую беседу в «раскачивание» мотивации и не используем вопросы для скрытого давления.</w:t>
            </w:r>
          </w:p>
        </w:tc>
      </w:tr>
      <w:tr>
        <w:tc>
          <w:tcPr>
            <w:tcW w:type="dxa" w:w="3211"/>
          </w:tcPr>
          <w:p>
            <w:r>
              <w:t>CBT case formulation (когнитивно-поведенческая формулировка случая)</w:t>
            </w:r>
          </w:p>
        </w:tc>
        <w:tc>
          <w:tcPr>
            <w:tcW w:type="dxa" w:w="3211"/>
          </w:tcPr>
          <w:p>
            <w:r>
              <w:t>Ситуация → мысли → эмоции/телесные ощущения → действие → краткосрочные и долгосрочные последствия; поддерживающие циклы.</w:t>
            </w:r>
          </w:p>
        </w:tc>
        <w:tc>
          <w:tcPr>
            <w:tcW w:type="dxa" w:w="3211"/>
          </w:tcPr>
          <w:p>
            <w:r>
              <w:t>Не ставим диагнозы, не интерпретируем детство без оснований и не проводим терапию.</w:t>
            </w:r>
          </w:p>
        </w:tc>
      </w:tr>
      <w:tr>
        <w:tc>
          <w:tcPr>
            <w:tcW w:type="dxa" w:w="3211"/>
          </w:tcPr>
          <w:p>
            <w:r>
              <w:t>Functional analysis (функциональный анализ поведения)</w:t>
            </w:r>
          </w:p>
        </w:tc>
        <w:tc>
          <w:tcPr>
            <w:tcW w:type="dxa" w:w="3211"/>
          </w:tcPr>
          <w:p>
            <w:r>
              <w:t>Что было до эпизода, что человек сделал, что получил сразу и что произошло позднее.</w:t>
            </w:r>
          </w:p>
        </w:tc>
        <w:tc>
          <w:tcPr>
            <w:tcW w:type="dxa" w:w="3211"/>
          </w:tcPr>
          <w:p>
            <w:r>
              <w:t>Не предполагаем, что каждое переедание — эмоциональная компенсация.</w:t>
            </w:r>
          </w:p>
        </w:tc>
      </w:tr>
      <w:tr>
        <w:tc>
          <w:tcPr>
            <w:tcW w:type="dxa" w:w="3211"/>
          </w:tcPr>
          <w:p>
            <w:r>
              <w:t>COM-B (возможности, условия и мотивация поведения)</w:t>
            </w:r>
          </w:p>
        </w:tc>
        <w:tc>
          <w:tcPr>
            <w:tcW w:type="dxa" w:w="3211"/>
          </w:tcPr>
          <w:p>
            <w:r>
              <w:t>Разделяем «не умею», «не могу в текущих условиях», «не хочу/не готов», привычку и автоматические реакции.</w:t>
            </w:r>
          </w:p>
        </w:tc>
        <w:tc>
          <w:tcPr>
            <w:tcW w:type="dxa" w:w="3211"/>
          </w:tcPr>
          <w:p>
            <w:r>
              <w:t>Не сводим трудности к силе воли.</w:t>
            </w:r>
          </w:p>
        </w:tc>
      </w:tr>
      <w:tr>
        <w:tc>
          <w:tcPr>
            <w:tcW w:type="dxa" w:w="3211"/>
          </w:tcPr>
          <w:p>
            <w:r>
              <w:t>SPIN Selling (метод СПИН-продаж)</w:t>
            </w:r>
          </w:p>
        </w:tc>
        <w:tc>
          <w:tcPr>
            <w:tcW w:type="dxa" w:w="3211"/>
          </w:tcPr>
          <w:p>
            <w:r>
              <w:t>От контекста и затруднения — к последствиям и личной ценности изменений.</w:t>
            </w:r>
          </w:p>
        </w:tc>
        <w:tc>
          <w:tcPr>
            <w:tcW w:type="dxa" w:w="3211"/>
          </w:tcPr>
          <w:p>
            <w:r>
              <w:t>Не усиливаем страх, стыд и болезненные переживания ради продажи.</w:t>
            </w:r>
          </w:p>
        </w:tc>
      </w:tr>
      <w:tr>
        <w:tc>
          <w:tcPr>
            <w:tcW w:type="dxa" w:w="3211"/>
          </w:tcPr>
          <w:p>
            <w:r>
              <w:t>5As of Obesity Management (пять шагов работы с ожирением)</w:t>
            </w:r>
          </w:p>
        </w:tc>
        <w:tc>
          <w:tcPr>
            <w:tcW w:type="dxa" w:w="3211"/>
          </w:tcPr>
          <w:p>
            <w:r>
              <w:t>Ask, Assess, Advise, Agree, Assist (спросить разрешение, оценить, предложить информацию, согласовать, помочь).</w:t>
            </w:r>
          </w:p>
        </w:tc>
        <w:tc>
          <w:tcPr>
            <w:tcW w:type="dxa" w:w="3211"/>
          </w:tcPr>
          <w:p>
            <w:r>
              <w:t>Не изображаем медицинскую оценку, которую чат-бот не проводил.</w:t>
            </w:r>
          </w:p>
        </w:tc>
      </w:tr>
    </w:tbl>
    <w:p/>
    <w:p>
      <w:pPr>
        <w:pStyle w:val="Heading1"/>
      </w:pPr>
      <w:r>
        <w:t>2. Контракт хорошей диагностической беседы</w:t>
      </w:r>
    </w:p>
    <w:p>
      <w:pPr>
        <w:pStyle w:val="ListBullet"/>
      </w:pPr>
      <w:r>
        <w:t>Человек остаётся главным источником знаний о своей жизни; консультант приносит карту типичных механизмов и умение различать их.</w:t>
      </w:r>
    </w:p>
    <w:p>
      <w:pPr>
        <w:pStyle w:val="ListBullet"/>
      </w:pPr>
      <w:r>
        <w:t>Любое содержательное предположение имеет статус гипотезы до подтверждения. Коррекция человека сильнее красивой теории.</w:t>
      </w:r>
    </w:p>
    <w:p>
      <w:pPr>
        <w:pStyle w:val="ListBullet"/>
      </w:pPr>
      <w:r>
        <w:t>Консультант не спрашивает «что вас беспокоит?» в пустоту, если человек не может назвать это; предлагает 2–3 уместные версии и вариант «ни одна».</w:t>
      </w:r>
    </w:p>
    <w:p>
      <w:pPr>
        <w:pStyle w:val="ListBullet"/>
      </w:pPr>
      <w:r>
        <w:t>Каждый ход должен иметь функцию: укрепить контакт, уточнить ключевую неизвестность, проверить гипотезу, связать элементы, раскрыть личный смысл, определить следующий шаг.</w:t>
      </w:r>
    </w:p>
    <w:p>
      <w:pPr>
        <w:pStyle w:val="ListBullet"/>
      </w:pPr>
      <w:r>
        <w:t>Не требуется задавать вопрос в каждом сообщении; но и вопрос в каждом сообщении не является ошибкой, если каждый имеет смысл.</w:t>
      </w:r>
    </w:p>
    <w:p>
      <w:pPr>
        <w:pStyle w:val="ListBullet"/>
      </w:pPr>
      <w:r>
        <w:t>Простое отражение иногда нужно для контакта; сложное отражение может добавить осторожную интерпретацию. Нельзя требовать новизну любой ценой.</w:t>
      </w:r>
    </w:p>
    <w:p>
      <w:pPr>
        <w:pStyle w:val="ListBullet"/>
      </w:pPr>
      <w:r>
        <w:t>Не угадывать интимные, социальные и бытовые ограничения по весу или внешности. Предлагать их как возможные примеры, с разрешением не соглашаться.</w:t>
      </w:r>
    </w:p>
    <w:p>
      <w:pPr>
        <w:pStyle w:val="ListBullet"/>
      </w:pPr>
      <w:r>
        <w:t>Не выдавать медицинскую, психиатрическую или психологическую диагностику за результат беседы; распознавать ситуации, требующие специалиста.</w:t>
      </w:r>
    </w:p>
    <w:p>
      <w:pPr>
        <w:pStyle w:val="ListBullet"/>
      </w:pPr>
      <w:r>
        <w:t>Не путать глубокое понимание с глубиной вторжения: уважать границы, не требовать откровенности и не использовать её для давления на покупку.</w:t>
      </w:r>
    </w:p>
    <w:p>
      <w:pPr>
        <w:pStyle w:val="Heading1"/>
      </w:pPr>
      <w:r>
        <w:t>3. Карта диагностических областей — не анкета, а навигация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Область</w:t>
            </w:r>
          </w:p>
        </w:tc>
        <w:tc>
          <w:tcPr>
            <w:tcW w:type="dxa" w:w="3211"/>
          </w:tcPr>
          <w:p>
            <w:r>
              <w:t>Что понять</w:t>
            </w:r>
          </w:p>
        </w:tc>
        <w:tc>
          <w:tcPr>
            <w:tcW w:type="dxa" w:w="3211"/>
          </w:tcPr>
          <w:p>
            <w:r>
              <w:t>Примеры полезных направлений</w:t>
            </w:r>
          </w:p>
        </w:tc>
      </w:tr>
      <w:tr>
        <w:tc>
          <w:tcPr>
            <w:tcW w:type="dxa" w:w="3211"/>
          </w:tcPr>
          <w:p>
            <w:r>
              <w:t>Запрос и контекст</w:t>
            </w:r>
          </w:p>
        </w:tc>
        <w:tc>
          <w:tcPr>
            <w:tcW w:type="dxa" w:w="3211"/>
          </w:tcPr>
          <w:p>
            <w:r>
              <w:t>Почему человек обратился сейчас, что считает проблемой</w:t>
            </w:r>
          </w:p>
        </w:tc>
        <w:tc>
          <w:tcPr>
            <w:tcW w:type="dxa" w:w="3211"/>
          </w:tcPr>
          <w:p>
            <w:r>
              <w:t>«Что стало последней каплей?»; «Что хотелось бы изменить в обычной жизни?»</w:t>
            </w:r>
          </w:p>
        </w:tc>
      </w:tr>
      <w:tr>
        <w:tc>
          <w:tcPr>
            <w:tcW w:type="dxa" w:w="3211"/>
          </w:tcPr>
          <w:p>
            <w:r>
              <w:t>История веса и изменений</w:t>
            </w:r>
          </w:p>
        </w:tc>
        <w:tc>
          <w:tcPr>
            <w:tcW w:type="dxa" w:w="3211"/>
          </w:tcPr>
          <w:p>
            <w:r>
              <w:t>Когда началось, как менялось, были ли поворотные события</w:t>
            </w:r>
          </w:p>
        </w:tc>
        <w:tc>
          <w:tcPr>
            <w:tcW w:type="dxa" w:w="3211"/>
          </w:tcPr>
          <w:p>
            <w:r>
              <w:t>Периоды набора/снижения, изменения режима, лекарства, жизненные события</w:t>
            </w:r>
          </w:p>
        </w:tc>
      </w:tr>
      <w:tr>
        <w:tc>
          <w:tcPr>
            <w:tcW w:type="dxa" w:w="3211"/>
          </w:tcPr>
          <w:p>
            <w:r>
              <w:t>Поведение и среда</w:t>
            </w:r>
          </w:p>
        </w:tc>
        <w:tc>
          <w:tcPr>
            <w:tcW w:type="dxa" w:w="3211"/>
          </w:tcPr>
          <w:p>
            <w:r>
              <w:t>Когда и в каких условиях трудность проявляется</w:t>
            </w:r>
          </w:p>
        </w:tc>
        <w:tc>
          <w:tcPr>
            <w:tcW w:type="dxa" w:w="3211"/>
          </w:tcPr>
          <w:p>
            <w:r>
              <w:t>Ритм питания, работа, сон, доступность еды, семейные привычки</w:t>
            </w:r>
          </w:p>
        </w:tc>
      </w:tr>
      <w:tr>
        <w:tc>
          <w:tcPr>
            <w:tcW w:type="dxa" w:w="3211"/>
          </w:tcPr>
          <w:p>
            <w:r>
              <w:t>Цикл эпизода</w:t>
            </w:r>
          </w:p>
        </w:tc>
        <w:tc>
          <w:tcPr>
            <w:tcW w:type="dxa" w:w="3211"/>
          </w:tcPr>
          <w:p>
            <w:r>
              <w:t>Что предшествует, происходит и следует за конкретным случаем</w:t>
            </w:r>
          </w:p>
        </w:tc>
        <w:tc>
          <w:tcPr>
            <w:tcW w:type="dxa" w:w="3211"/>
          </w:tcPr>
          <w:p>
            <w:r>
              <w:t>Голод, усталость, эмоции, автоматизм, мысли после эпизода</w:t>
            </w:r>
          </w:p>
        </w:tc>
      </w:tr>
      <w:tr>
        <w:tc>
          <w:tcPr>
            <w:tcW w:type="dxa" w:w="3211"/>
          </w:tcPr>
          <w:p>
            <w:r>
              <w:t>Предыдущие попытки</w:t>
            </w:r>
          </w:p>
        </w:tc>
        <w:tc>
          <w:tcPr>
            <w:tcW w:type="dxa" w:w="3211"/>
          </w:tcPr>
          <w:p>
            <w:r>
              <w:t>Что помогало, что не выдерживало нагрузку, что было слишком дорого</w:t>
            </w:r>
          </w:p>
        </w:tc>
        <w:tc>
          <w:tcPr>
            <w:tcW w:type="dxa" w:w="3211"/>
          </w:tcPr>
          <w:p>
            <w:r>
              <w:t>Срывы, ограничения, устойчивость, поддержка, возврат после отклонения</w:t>
            </w:r>
          </w:p>
        </w:tc>
      </w:tr>
      <w:tr>
        <w:tc>
          <w:tcPr>
            <w:tcW w:type="dxa" w:w="3211"/>
          </w:tcPr>
          <w:p>
            <w:r>
              <w:t>Убеждения и самоотношение</w:t>
            </w:r>
          </w:p>
        </w:tc>
        <w:tc>
          <w:tcPr>
            <w:tcW w:type="dxa" w:w="3211"/>
          </w:tcPr>
          <w:p>
            <w:r>
              <w:t>Как человек объясняет происходящее себе</w:t>
            </w:r>
          </w:p>
        </w:tc>
        <w:tc>
          <w:tcPr>
            <w:tcW w:type="dxa" w:w="3211"/>
          </w:tcPr>
          <w:p>
            <w:r>
              <w:t>«У меня нет силы воли», «если нарушил — всё пропало», стыд</w:t>
            </w:r>
          </w:p>
        </w:tc>
      </w:tr>
      <w:tr>
        <w:tc>
          <w:tcPr>
            <w:tcW w:type="dxa" w:w="3211"/>
          </w:tcPr>
          <w:p>
            <w:r>
              <w:t>Жизненные ограничения</w:t>
            </w:r>
          </w:p>
        </w:tc>
        <w:tc>
          <w:tcPr>
            <w:tcW w:type="dxa" w:w="3211"/>
          </w:tcPr>
          <w:p>
            <w:r>
              <w:t>Что человек перестал делать, выбирать или позволять себе</w:t>
            </w:r>
          </w:p>
        </w:tc>
        <w:tc>
          <w:tcPr>
            <w:tcW w:type="dxa" w:w="3211"/>
          </w:tcPr>
          <w:p>
            <w:r>
              <w:t>Одежда, фотографии, движение, досуг, близость — только как гипотезы</w:t>
            </w:r>
          </w:p>
        </w:tc>
      </w:tr>
      <w:tr>
        <w:tc>
          <w:tcPr>
            <w:tcW w:type="dxa" w:w="3211"/>
          </w:tcPr>
          <w:p>
            <w:r>
              <w:t>Ресурсы и исключения</w:t>
            </w:r>
          </w:p>
        </w:tc>
        <w:tc>
          <w:tcPr>
            <w:tcW w:type="dxa" w:w="3211"/>
          </w:tcPr>
          <w:p>
            <w:r>
              <w:t>Когда проблема меньше и почему</w:t>
            </w:r>
          </w:p>
        </w:tc>
        <w:tc>
          <w:tcPr>
            <w:tcW w:type="dxa" w:w="3211"/>
          </w:tcPr>
          <w:p>
            <w:r>
              <w:t>Удачные дни, возвращение к плану, поддерживающие обстоятельства</w:t>
            </w:r>
          </w:p>
        </w:tc>
      </w:tr>
      <w:tr>
        <w:tc>
          <w:tcPr>
            <w:tcW w:type="dxa" w:w="3211"/>
          </w:tcPr>
          <w:p>
            <w:r>
              <w:t>Ценность изменений</w:t>
            </w:r>
          </w:p>
        </w:tc>
        <w:tc>
          <w:tcPr>
            <w:tcW w:type="dxa" w:w="3211"/>
          </w:tcPr>
          <w:p>
            <w:r>
              <w:t>Что изменится лично для него</w:t>
            </w:r>
          </w:p>
        </w:tc>
        <w:tc>
          <w:tcPr>
            <w:tcW w:type="dxa" w:w="3211"/>
          </w:tcPr>
          <w:p>
            <w:r>
              <w:t>Свобода выбора, энергия, здоровье, участие в жизни, уверенность</w:t>
            </w:r>
          </w:p>
        </w:tc>
      </w:tr>
      <w:tr>
        <w:tc>
          <w:tcPr>
            <w:tcW w:type="dxa" w:w="3211"/>
          </w:tcPr>
          <w:p>
            <w:r>
              <w:t>Готовность и следующий шаг</w:t>
            </w:r>
          </w:p>
        </w:tc>
        <w:tc>
          <w:tcPr>
            <w:tcW w:type="dxa" w:w="3211"/>
          </w:tcPr>
          <w:p>
            <w:r>
              <w:t>Что человеку подходит сейчас</w:t>
            </w:r>
          </w:p>
        </w:tc>
        <w:tc>
          <w:tcPr>
            <w:tcW w:type="dxa" w:w="3211"/>
          </w:tcPr>
          <w:p>
            <w:r>
              <w:t>Желание исследовать, помощь специалиста, практические ограничения</w:t>
            </w:r>
          </w:p>
        </w:tc>
      </w:tr>
    </w:tbl>
    <w:p/>
    <w:p>
      <w:pPr>
        <w:pStyle w:val="Heading1"/>
      </w:pPr>
      <w:r>
        <w:t>4. Метод работы с одним эпизодом: от рассказа к механизму</w:t>
      </w:r>
    </w:p>
    <w:p>
      <w:pPr>
        <w:pStyle w:val="ListNumber"/>
      </w:pPr>
      <w:r>
        <w:t>Попросить один конкретный недавний пример вместо общего «всегда так».</w:t>
      </w:r>
    </w:p>
    <w:p>
      <w:pPr>
        <w:pStyle w:val="ListNumber"/>
      </w:pPr>
      <w:r>
        <w:t>Восстановить контекст: когда, где, после какого дня, с кем, что было доступно, что происходило с голодом и усталостью.</w:t>
      </w:r>
    </w:p>
    <w:p>
      <w:pPr>
        <w:pStyle w:val="ListNumber"/>
      </w:pPr>
      <w:r>
        <w:t>Различить событие и интерпретацию: «съел больше» — событие; «всё испортил» — оценка.</w:t>
      </w:r>
    </w:p>
    <w:p>
      <w:pPr>
        <w:pStyle w:val="ListNumber"/>
      </w:pPr>
      <w:r>
        <w:t>Понять функцию поведения: что оно дало сразу — сытость, отдых, удовольствие, снятие напряжения, социальное участие? Не предполагать заранее.</w:t>
      </w:r>
    </w:p>
    <w:p>
      <w:pPr>
        <w:pStyle w:val="ListNumber"/>
      </w:pPr>
      <w:r>
        <w:t>Понять последствия: что изменилось через час, утром, через неделю; что удерживает цикл.</w:t>
      </w:r>
    </w:p>
    <w:p>
      <w:pPr>
        <w:pStyle w:val="ListNumber"/>
      </w:pPr>
      <w:r>
        <w:t>Сопоставить 2–3 конкурирующие гипотезы и выбрать один различающий вопрос или осторожное объяснение.</w:t>
      </w:r>
    </w:p>
    <w:p>
      <w:pPr>
        <w:pStyle w:val="ListNumber"/>
      </w:pPr>
      <w:r>
        <w:t>Проверить с человеком: «это похоже или я промахнулся?»; обновить картину при несогласии.</w:t>
      </w:r>
    </w:p>
    <w:p>
      <w:pPr>
        <w:pStyle w:val="ListNumber"/>
      </w:pPr>
      <w:r>
        <w:t>Найти исключение: когда было иначе и какие условия помогли.</w:t>
      </w:r>
    </w:p>
    <w:p>
      <w:pPr>
        <w:pStyle w:val="ListNumber"/>
      </w:pPr>
      <w:r>
        <w:t>Связать механизм с личным смыслом и возможным направлением помощи, не выдавая план лечения.</w:t>
      </w:r>
    </w:p>
    <w:p>
      <w:pPr>
        <w:pStyle w:val="Heading1"/>
      </w:pPr>
      <w:r>
        <w:t>5. Банк механизмов: что искать, как различать, чего не предполагать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Возможный механизм</w:t>
            </w:r>
          </w:p>
        </w:tc>
        <w:tc>
          <w:tcPr>
            <w:tcW w:type="dxa" w:w="3211"/>
          </w:tcPr>
          <w:p>
            <w:r>
              <w:t>Подсказки в рассказе</w:t>
            </w:r>
          </w:p>
        </w:tc>
        <w:tc>
          <w:tcPr>
            <w:tcW w:type="dxa" w:w="3211"/>
          </w:tcPr>
          <w:p>
            <w:r>
              <w:t>Диагностически полезный вопрос / предложение</w:t>
            </w:r>
          </w:p>
        </w:tc>
      </w:tr>
      <w:tr>
        <w:tc>
          <w:tcPr>
            <w:tcW w:type="dxa" w:w="3211"/>
          </w:tcPr>
          <w:p>
            <w:r>
              <w:t>Физический голод после ограничений</w:t>
            </w:r>
          </w:p>
        </w:tc>
        <w:tc>
          <w:tcPr>
            <w:tcW w:type="dxa" w:w="3211"/>
          </w:tcPr>
          <w:p>
            <w:r>
              <w:t>Пропуски еды, очень длинные интервалы, выраженный вечерний голод</w:t>
            </w:r>
          </w:p>
        </w:tc>
        <w:tc>
          <w:tcPr>
            <w:tcW w:type="dxa" w:w="3211"/>
          </w:tcPr>
          <w:p>
            <w:r>
              <w:t>«Вечером больше ощущается сильный голод или желание расслабиться — или оба?»</w:t>
            </w:r>
          </w:p>
        </w:tc>
      </w:tr>
      <w:tr>
        <w:tc>
          <w:tcPr>
            <w:tcW w:type="dxa" w:w="3211"/>
          </w:tcPr>
          <w:p>
            <w:r>
              <w:t>Эмоциональная регуляция едой</w:t>
            </w:r>
          </w:p>
        </w:tc>
        <w:tc>
          <w:tcPr>
            <w:tcW w:type="dxa" w:w="3211"/>
          </w:tcPr>
          <w:p>
            <w:r>
              <w:t>Эпизоды после напряжения, одиночества, конфликтов</w:t>
            </w:r>
          </w:p>
        </w:tc>
        <w:tc>
          <w:tcPr>
            <w:tcW w:type="dxa" w:w="3211"/>
          </w:tcPr>
          <w:p>
            <w:r>
              <w:t>«Что еда даёт в первые минуты: спокойствие, паузу, удовольствие или просто насыщение?»</w:t>
            </w:r>
          </w:p>
        </w:tc>
      </w:tr>
      <w:tr>
        <w:tc>
          <w:tcPr>
            <w:tcW w:type="dxa" w:w="3211"/>
          </w:tcPr>
          <w:p>
            <w:r>
              <w:t>Чёрно-белая оценка результата</w:t>
            </w:r>
          </w:p>
        </w:tc>
        <w:tc>
          <w:tcPr>
            <w:tcW w:type="dxa" w:w="3211"/>
          </w:tcPr>
          <w:p>
            <w:r>
              <w:t>«Всё испортил», «начну заново», длительные паузы после эпизода</w:t>
            </w:r>
          </w:p>
        </w:tc>
        <w:tc>
          <w:tcPr>
            <w:tcW w:type="dxa" w:w="3211"/>
          </w:tcPr>
          <w:p>
            <w:r>
              <w:t>«Похоже, один вечер становится оценкой всей попытки. Это про вас?»</w:t>
            </w:r>
          </w:p>
        </w:tc>
      </w:tr>
      <w:tr>
        <w:tc>
          <w:tcPr>
            <w:tcW w:type="dxa" w:w="3211"/>
          </w:tcPr>
          <w:p>
            <w:r>
              <w:t>Слишком жёсткие правила</w:t>
            </w:r>
          </w:p>
        </w:tc>
        <w:tc>
          <w:tcPr>
            <w:tcW w:type="dxa" w:w="3211"/>
          </w:tcPr>
          <w:p>
            <w:r>
              <w:t>Запреты, компенсация, трудность гибко вернуться</w:t>
            </w:r>
          </w:p>
        </w:tc>
        <w:tc>
          <w:tcPr>
            <w:tcW w:type="dxa" w:w="3211"/>
          </w:tcPr>
          <w:p>
            <w:r>
              <w:t>«После отклонения вы возвращаетесь к привычному режиму или чувствуете, что надо всё начинать заново?»</w:t>
            </w:r>
          </w:p>
        </w:tc>
      </w:tr>
      <w:tr>
        <w:tc>
          <w:tcPr>
            <w:tcW w:type="dxa" w:w="3211"/>
          </w:tcPr>
          <w:p>
            <w:r>
              <w:t>Недостаток условий, а не мотивации</w:t>
            </w:r>
          </w:p>
        </w:tc>
        <w:tc>
          <w:tcPr>
            <w:tcW w:type="dxa" w:w="3211"/>
          </w:tcPr>
          <w:p>
            <w:r>
              <w:t>Непредсказуемая работа, бюджет, семейные обязанности</w:t>
            </w:r>
          </w:p>
        </w:tc>
        <w:tc>
          <w:tcPr>
            <w:tcW w:type="dxa" w:w="3211"/>
          </w:tcPr>
          <w:p>
            <w:r>
              <w:t>«Если бы желание было тем же, что мешало бы на практике?»</w:t>
            </w:r>
          </w:p>
        </w:tc>
      </w:tr>
      <w:tr>
        <w:tc>
          <w:tcPr>
            <w:tcW w:type="dxa" w:w="3211"/>
          </w:tcPr>
          <w:p>
            <w:r>
              <w:t>Привычка и сигналы среды</w:t>
            </w:r>
          </w:p>
        </w:tc>
        <w:tc>
          <w:tcPr>
            <w:tcW w:type="dxa" w:w="3211"/>
          </w:tcPr>
          <w:p>
            <w:r>
              <w:t>Автоматические перекусы, еда перед экраном</w:t>
            </w:r>
          </w:p>
        </w:tc>
        <w:tc>
          <w:tcPr>
            <w:tcW w:type="dxa" w:w="3211"/>
          </w:tcPr>
          <w:p>
            <w:r>
              <w:t>«В какой момент замечаете, что уже начали есть?»</w:t>
            </w:r>
          </w:p>
        </w:tc>
      </w:tr>
      <w:tr>
        <w:tc>
          <w:tcPr>
            <w:tcW w:type="dxa" w:w="3211"/>
          </w:tcPr>
          <w:p>
            <w:r>
              <w:t>Недостаток сна / усталость</w:t>
            </w:r>
          </w:p>
        </w:tc>
        <w:tc>
          <w:tcPr>
            <w:tcW w:type="dxa" w:w="3211"/>
          </w:tcPr>
          <w:p>
            <w:r>
              <w:t>Смены, короткий сон, истощение</w:t>
            </w:r>
          </w:p>
        </w:tc>
        <w:tc>
          <w:tcPr>
            <w:tcW w:type="dxa" w:w="3211"/>
          </w:tcPr>
          <w:p>
            <w:r>
              <w:t>«Это происходит чаще после недосыпа или и в спокойные дни?»</w:t>
            </w:r>
          </w:p>
        </w:tc>
      </w:tr>
      <w:tr>
        <w:tc>
          <w:tcPr>
            <w:tcW w:type="dxa" w:w="3211"/>
          </w:tcPr>
          <w:p>
            <w:r>
              <w:t>Стыд и самокритика</w:t>
            </w:r>
          </w:p>
        </w:tc>
        <w:tc>
          <w:tcPr>
            <w:tcW w:type="dxa" w:w="3211"/>
          </w:tcPr>
          <w:p>
            <w:r>
              <w:t>Скрытность, самообвинение, избегание контактов</w:t>
            </w:r>
          </w:p>
        </w:tc>
        <w:tc>
          <w:tcPr>
            <w:tcW w:type="dxa" w:w="3211"/>
          </w:tcPr>
          <w:p>
            <w:r>
              <w:t>«Что вы говорите себе после такого случая?»</w:t>
            </w:r>
          </w:p>
        </w:tc>
      </w:tr>
      <w:tr>
        <w:tc>
          <w:tcPr>
            <w:tcW w:type="dxa" w:w="3211"/>
          </w:tcPr>
          <w:p>
            <w:r>
              <w:t>Ожидания и разочарование</w:t>
            </w:r>
          </w:p>
        </w:tc>
        <w:tc>
          <w:tcPr>
            <w:tcW w:type="dxa" w:w="3211"/>
          </w:tcPr>
          <w:p>
            <w:r>
              <w:t>«Стараюсь, а ничего не меняется»</w:t>
            </w:r>
          </w:p>
        </w:tc>
        <w:tc>
          <w:tcPr>
            <w:tcW w:type="dxa" w:w="3211"/>
          </w:tcPr>
          <w:p>
            <w:r>
              <w:t>«По чему вы обычно понимаете, что попытка работает?»</w:t>
            </w:r>
          </w:p>
        </w:tc>
      </w:tr>
      <w:tr>
        <w:tc>
          <w:tcPr>
            <w:tcW w:type="dxa" w:w="3211"/>
          </w:tcPr>
          <w:p>
            <w:r>
              <w:t>Социальные сценарии</w:t>
            </w:r>
          </w:p>
        </w:tc>
        <w:tc>
          <w:tcPr>
            <w:tcW w:type="dxa" w:w="3211"/>
          </w:tcPr>
          <w:p>
            <w:r>
              <w:t>Семейные застолья, давление окружения</w:t>
            </w:r>
          </w:p>
        </w:tc>
        <w:tc>
          <w:tcPr>
            <w:tcW w:type="dxa" w:w="3211"/>
          </w:tcPr>
          <w:p>
            <w:r>
              <w:t>«В каких ситуациях сложнее действовать по-своему?»</w:t>
            </w:r>
          </w:p>
        </w:tc>
      </w:tr>
      <w:tr>
        <w:tc>
          <w:tcPr>
            <w:tcW w:type="dxa" w:w="3211"/>
          </w:tcPr>
          <w:p>
            <w:r>
              <w:t>Избегание из-за дискомфорта или самооценки</w:t>
            </w:r>
          </w:p>
        </w:tc>
        <w:tc>
          <w:tcPr>
            <w:tcW w:type="dxa" w:w="3211"/>
          </w:tcPr>
          <w:p>
            <w:r>
              <w:t>Сужение активности, отказ от фото/одежды/мероприятий</w:t>
            </w:r>
          </w:p>
        </w:tc>
        <w:tc>
          <w:tcPr>
            <w:tcW w:type="dxa" w:w="3211"/>
          </w:tcPr>
          <w:p>
            <w:r>
              <w:t>«Есть ли что-то, что раньше нравилось, а теперь стало менее доступным? Или это не про вас?»</w:t>
            </w:r>
          </w:p>
        </w:tc>
      </w:tr>
      <w:tr>
        <w:tc>
          <w:tcPr>
            <w:tcW w:type="dxa" w:w="3211"/>
          </w:tcPr>
          <w:p>
            <w:r>
              <w:t>Медицинские/лекарственные факторы</w:t>
            </w:r>
          </w:p>
        </w:tc>
        <w:tc>
          <w:tcPr>
            <w:tcW w:type="dxa" w:w="3211"/>
          </w:tcPr>
          <w:p>
            <w:r>
              <w:t>Резкие изменения, симптомы, новые лекарства</w:t>
            </w:r>
          </w:p>
        </w:tc>
        <w:tc>
          <w:tcPr>
            <w:tcW w:type="dxa" w:w="3211"/>
          </w:tcPr>
          <w:p>
            <w:r>
              <w:t>«Были ли изменения здоровья или лечения, которые стоит обсудить с врачом?»</w:t>
            </w:r>
          </w:p>
        </w:tc>
      </w:tr>
    </w:tbl>
    <w:p/>
    <w:p>
      <w:r>
        <w:t>Одна ситуация может иметь несколько механизмов. Некоторые механизмы не психологические. Нельзя выбирать гипотезу только потому, что она эмоционально эффектно звучит.</w:t>
      </w:r>
    </w:p>
    <w:p>
      <w:pPr>
        <w:pStyle w:val="Heading1"/>
      </w:pPr>
      <w:r>
        <w:t>6. Как предлагать варианты человеку, который сам не знает ответа</w:t>
      </w:r>
    </w:p>
    <w:p>
      <w:r>
        <w:t>Рабочий приём: признать факт → назвать область неопределённости → предложить 2–3 конкретные, различающиеся версии → оставить открытый выход → дождаться коррекции. Варианты берутся из релевантного профессионального опыта, а не из универсального списка «болей».</w:t>
      </w:r>
    </w:p>
    <w:p>
      <w:r>
        <w:t>Пример. «Понял, на следующий день вы возвращаетесь к привычному режиму. Тогда трудность может быть в другом: иногда остаётся чувство вины, иногда тревожит повторение, а иногда больше расстраивает, что прогресс идёт медленно. Что-нибудь похоже на вашу ситуацию — или дело совсем в другом?»</w:t>
      </w:r>
    </w:p>
    <w:p>
      <w:r>
        <w:t>Если человек отвечает «не знаю», не повторять вопрос другими словами. Можно попросить сравнить два конкретных эпизода, предложить один жизненный пример или оставить тему без давления.</w:t>
      </w:r>
    </w:p>
    <w:p>
      <w:r>
        <w:t>Риск: варианты могут подсказать человеку ложный ответ. Поэтому ограничивать их количество, не перечислять драматичные переживания без основания и считать согласие лишь предварительным подтверждением.</w:t>
      </w:r>
    </w:p>
    <w:p>
      <w:pPr>
        <w:pStyle w:val="Heading1"/>
      </w:pPr>
      <w:r>
        <w:t>7. Профессиональные ходы: как выбирать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Ход</w:t>
            </w:r>
          </w:p>
        </w:tc>
        <w:tc>
          <w:tcPr>
            <w:tcW w:type="dxa" w:w="3211"/>
          </w:tcPr>
          <w:p>
            <w:r>
              <w:t>Когда полезен</w:t>
            </w:r>
          </w:p>
        </w:tc>
        <w:tc>
          <w:tcPr>
            <w:tcW w:type="dxa" w:w="3211"/>
          </w:tcPr>
          <w:p>
            <w:r>
              <w:t>Когда мешает</w:t>
            </w:r>
          </w:p>
        </w:tc>
      </w:tr>
      <w:tr>
        <w:tc>
          <w:tcPr>
            <w:tcW w:type="dxa" w:w="3211"/>
          </w:tcPr>
          <w:p>
            <w:r>
              <w:t>Открытый вопрос</w:t>
            </w:r>
          </w:p>
        </w:tc>
        <w:tc>
          <w:tcPr>
            <w:tcW w:type="dxa" w:w="3211"/>
          </w:tcPr>
          <w:p>
            <w:r>
              <w:t>Нужен широкий рассказ, направление неясно</w:t>
            </w:r>
          </w:p>
        </w:tc>
        <w:tc>
          <w:tcPr>
            <w:tcW w:type="dxa" w:w="3211"/>
          </w:tcPr>
          <w:p>
            <w:r>
              <w:t>Человек уже не может сформулировать ответ</w:t>
            </w:r>
          </w:p>
        </w:tc>
      </w:tr>
      <w:tr>
        <w:tc>
          <w:tcPr>
            <w:tcW w:type="dxa" w:w="3211"/>
          </w:tcPr>
          <w:p>
            <w:r>
              <w:t>Вопрос-различитель</w:t>
            </w:r>
          </w:p>
        </w:tc>
        <w:tc>
          <w:tcPr>
            <w:tcW w:type="dxa" w:w="3211"/>
          </w:tcPr>
          <w:p>
            <w:r>
              <w:t>Есть 2–3 правдоподобных механизма</w:t>
            </w:r>
          </w:p>
        </w:tc>
        <w:tc>
          <w:tcPr>
            <w:tcW w:type="dxa" w:w="3211"/>
          </w:tcPr>
          <w:p>
            <w:r>
              <w:t>Альтернативы искусственные или навязаны</w:t>
            </w:r>
          </w:p>
        </w:tc>
      </w:tr>
      <w:tr>
        <w:tc>
          <w:tcPr>
            <w:tcW w:type="dxa" w:w="3211"/>
          </w:tcPr>
          <w:p>
            <w:r>
              <w:t>Сложное отражение</w:t>
            </w:r>
          </w:p>
        </w:tc>
        <w:tc>
          <w:tcPr>
            <w:tcW w:type="dxa" w:w="3211"/>
          </w:tcPr>
          <w:p>
            <w:r>
              <w:t>Есть обоснованная связь, которую можно показать</w:t>
            </w:r>
          </w:p>
        </w:tc>
        <w:tc>
          <w:tcPr>
            <w:tcW w:type="dxa" w:w="3211"/>
          </w:tcPr>
          <w:p>
            <w:r>
              <w:t>Это выдаётся как установленная правда</w:t>
            </w:r>
          </w:p>
        </w:tc>
      </w:tr>
      <w:tr>
        <w:tc>
          <w:tcPr>
            <w:tcW w:type="dxa" w:w="3211"/>
          </w:tcPr>
          <w:p>
            <w:r>
              <w:t>Короткая профессиональная информация</w:t>
            </w:r>
          </w:p>
        </w:tc>
        <w:tc>
          <w:tcPr>
            <w:tcW w:type="dxa" w:w="3211"/>
          </w:tcPr>
          <w:p>
            <w:r>
              <w:t>Человек заблуждается или ему не хватает карты вариантов</w:t>
            </w:r>
          </w:p>
        </w:tc>
        <w:tc>
          <w:tcPr>
            <w:tcW w:type="dxa" w:w="3211"/>
          </w:tcPr>
          <w:p>
            <w:r>
              <w:t>Превращается в лекцию без связи с опытом</w:t>
            </w:r>
          </w:p>
        </w:tc>
      </w:tr>
      <w:tr>
        <w:tc>
          <w:tcPr>
            <w:tcW w:type="dxa" w:w="3211"/>
          </w:tcPr>
          <w:p>
            <w:r>
              <w:t>Предложение типичных вариантов</w:t>
            </w:r>
          </w:p>
        </w:tc>
        <w:tc>
          <w:tcPr>
            <w:tcW w:type="dxa" w:w="3211"/>
          </w:tcPr>
          <w:p>
            <w:r>
              <w:t>Человек затрудняется распознать собственное состояние</w:t>
            </w:r>
          </w:p>
        </w:tc>
        <w:tc>
          <w:tcPr>
            <w:tcW w:type="dxa" w:w="3211"/>
          </w:tcPr>
          <w:p>
            <w:r>
              <w:t>Список слишком длинный или содержит чужую биографию</w:t>
            </w:r>
          </w:p>
        </w:tc>
      </w:tr>
      <w:tr>
        <w:tc>
          <w:tcPr>
            <w:tcW w:type="dxa" w:w="3211"/>
          </w:tcPr>
          <w:p>
            <w:r>
              <w:t>Уточнение/принятие коррекции</w:t>
            </w:r>
          </w:p>
        </w:tc>
        <w:tc>
          <w:tcPr>
            <w:tcW w:type="dxa" w:w="3211"/>
          </w:tcPr>
          <w:p>
            <w:r>
              <w:t>Изменился существенный факт</w:t>
            </w:r>
          </w:p>
        </w:tc>
        <w:tc>
          <w:tcPr>
            <w:tcW w:type="dxa" w:w="3211"/>
          </w:tcPr>
          <w:p>
            <w:r>
              <w:t>Бот начинает защищать старую гипотезу</w:t>
            </w:r>
          </w:p>
        </w:tc>
      </w:tr>
      <w:tr>
        <w:tc>
          <w:tcPr>
            <w:tcW w:type="dxa" w:w="3211"/>
          </w:tcPr>
          <w:p>
            <w:r>
              <w:t>Обобщение</w:t>
            </w:r>
          </w:p>
        </w:tc>
        <w:tc>
          <w:tcPr>
            <w:tcW w:type="dxa" w:w="3211"/>
          </w:tcPr>
          <w:p>
            <w:r>
              <w:t>Накоплено несколько важных связей</w:t>
            </w:r>
          </w:p>
        </w:tc>
        <w:tc>
          <w:tcPr>
            <w:tcW w:type="dxa" w:w="3211"/>
          </w:tcPr>
          <w:p>
            <w:r>
              <w:t>Преждевременно объявляет «корень проблемы»</w:t>
            </w:r>
          </w:p>
        </w:tc>
      </w:tr>
      <w:tr>
        <w:tc>
          <w:tcPr>
            <w:tcW w:type="dxa" w:w="3211"/>
          </w:tcPr>
          <w:p>
            <w:r>
              <w:t>Пауза/открытое продолжение</w:t>
            </w:r>
          </w:p>
        </w:tc>
        <w:tc>
          <w:tcPr>
            <w:tcW w:type="dxa" w:w="3211"/>
          </w:tcPr>
          <w:p>
            <w:r>
              <w:t>Тема эмоционально насыщена</w:t>
            </w:r>
          </w:p>
        </w:tc>
        <w:tc>
          <w:tcPr>
            <w:tcW w:type="dxa" w:w="3211"/>
          </w:tcPr>
          <w:p>
            <w:r>
              <w:t>Бот искусственно заполняет каждую паузу вопросом</w:t>
            </w:r>
          </w:p>
        </w:tc>
      </w:tr>
    </w:tbl>
    <w:p/>
    <w:p>
      <w:pPr>
        <w:pStyle w:val="Heading1"/>
      </w:pPr>
      <w:r>
        <w:t>8. Глубина: как дойти до поддерживающего механизма, не выдумав «корень»</w:t>
      </w:r>
    </w:p>
    <w:p>
      <w:r>
        <w:t>Уровень 1 — событие: «вечером переел». Уровень 2 — условия: «после пропущенного обеда и тяжёлого дня». Уровень 3 — функция: «хотел насытиться и наконец отдохнуть». Уровень 4 — интерпретация: «раз нарушил — ничего не получилось». Уровень 5 — цикл: «после самообвинения прекращаю попытки». Уровень 6 — личный смысл: «перестаю доверять себе и избегаю новых попыток».</w:t>
      </w:r>
    </w:p>
    <w:p>
      <w:r>
        <w:t>Это не обязательная лестница. В конкретной беседе реальный «корень» может оказаться сменным графиком, дефицитом сна, лекарством, хроническим стрессом, ограничительным питанием или сочетанием факторов. Не искать детскую травму, страх близости или низкую самооценку без данных.</w:t>
      </w:r>
    </w:p>
    <w:p>
      <w:r>
        <w:t>Проверочный вопрос консультанта к самому себе: «Какой факт мог бы показать, что моя красивая гипотеза неверна?» Если такого факта нет, гипотеза плохо проверяема.</w:t>
      </w:r>
    </w:p>
    <w:p>
      <w:pPr>
        <w:pStyle w:val="Heading1"/>
      </w:pPr>
      <w:r>
        <w:t>9. Особая ценность: скрытые бытовые ограничения и изменение картины жизни</w:t>
      </w:r>
    </w:p>
    <w:p>
      <w:r>
        <w:t>Из пользовательского концептуального документа проекта: человек может адаптировать предпочтения к ограничениям — например, объяснять отказ от походов любовью к комфорту, хотя иногда ему просто тяжело идти; аналогично возможны одежда, фотографии, танцы, общение и близость. Это полезная исследовательская гипотеза, но не универсальная правда.</w:t>
      </w:r>
    </w:p>
    <w:p>
      <w:r>
        <w:t>Лучший формат — осторожный сюжет для узнавания: «Иногда человек постепенно перестаёт выбирать то, что раньше любил, и объясняет это сменой интересов. Например, походы: может быть, они и правда разонравились, а может, сложнее стало добираться до места. Случалось ли что-то похожее у вас — или нет?»</w:t>
      </w:r>
    </w:p>
    <w:p>
      <w:r>
        <w:t>Не изображать собственный пережитый опыт («я сам это проходил»), если его нет. Не утверждать, что человек испытывает сексуальные или семейные проблемы только из-за веса. Не выдавать вымышленные вероятности вроде 82% избегания фотографий за статистику.</w:t>
      </w:r>
    </w:p>
    <w:p>
      <w:pPr>
        <w:pStyle w:val="Heading1"/>
      </w:pPr>
      <w:r>
        <w:t>10. Личная ценность перемен без давления</w:t>
      </w:r>
    </w:p>
    <w:p>
      <w:r>
        <w:t>Исследовать не только «от чего уйти», но и «ради чего двигаться»: свободнее передвигаться, легче играть с детьми, спокойнее относиться к еде, выбирать одежду, больше участвовать в жизни, заботиться о здоровье. Не обещать, что снижение веса автоматически даст счастье, сексуальную привлекательность, энергию или решит отношения.</w:t>
      </w:r>
    </w:p>
    <w:p>
      <w:r>
        <w:t>SPIN-подход помогает обсуждать последствия и ценность изменений. Однако искусственное усиление страха, стыда или угрозы будущего ради продажи противоречит безопасной и уважительной консультации. Реальные медицинские риски обсуждаются соразмерно, без запугивания и ложной срочности.</w:t>
      </w:r>
    </w:p>
    <w:p>
      <w:pPr>
        <w:pStyle w:val="Heading1"/>
      </w:pPr>
      <w:r>
        <w:t>11. Переход к живому консультанту</w:t>
      </w:r>
    </w:p>
    <w:p>
      <w:r>
        <w:t>Переход уместен, когда человек понимает, что было выяснено, что осталось неопределённым, зачем может быть полезен следующий разговор и добровольно согласен. Экспертность демонстрируется качеством самой беседы, а не неподтверждёнными заявлениями «мы помогли сотням».</w:t>
      </w:r>
    </w:p>
    <w:p>
      <w:r>
        <w:t>Передаваемое резюме: цель человека; его собственные слова о трудностях; подтверждённые факты; рабочие гипотезы с пометкой «не подтверждено»; прежние попытки; выявленные барьеры; важные предпочтения; согласованный следующий шаг. Не передавать интимные и медицинские детали сверх необходимого и согласованного.</w:t>
      </w:r>
    </w:p>
    <w:p>
      <w:pPr>
        <w:pStyle w:val="Heading1"/>
      </w:pPr>
      <w:r>
        <w:t>12. Красные флаги и границы компетенции</w:t>
      </w:r>
    </w:p>
    <w:p>
      <w:pPr>
        <w:pStyle w:val="ListBullet"/>
      </w:pPr>
      <w:r>
        <w:t>Подозрение на расстройство пищевого поведения: повторные эпизоды потери контроля, сильный дистресс, очищающее поведение, чрезмерные ограничения. Не назначать диету и не пытаться лечить в чате; предложить профильного специалиста.</w:t>
      </w:r>
    </w:p>
    <w:p>
      <w:pPr>
        <w:pStyle w:val="ListBullet"/>
      </w:pPr>
      <w:r>
        <w:t>Резкие необъяснимые изменения веса, выраженные симптомы, подозрение на лекарственные или эндокринные причины: направить на медицинскую оценку.</w:t>
      </w:r>
    </w:p>
    <w:p>
      <w:pPr>
        <w:pStyle w:val="ListBullet"/>
      </w:pPr>
      <w:r>
        <w:t>Сильная депрессия, травматические переживания, риск причинения себе вреда: не вести «глубинную проработку» ради продажи, переключиться на соответствующую поддержку.</w:t>
      </w:r>
    </w:p>
    <w:p>
      <w:pPr>
        <w:pStyle w:val="ListBullet"/>
      </w:pPr>
      <w:r>
        <w:t>Стыд, дискриминация по весу, самоуничижение: не усиливать их; не считать вес объяснением всех проблем.</w:t>
      </w:r>
    </w:p>
    <w:p>
      <w:pPr>
        <w:pStyle w:val="ListBullet"/>
      </w:pPr>
      <w:r>
        <w:t>Не давать индивидуальные назначения, диагнозы и гарантии результатов. Человек вправе не обсуждать чувствительную тему.</w:t>
      </w:r>
    </w:p>
    <w:p>
      <w:pPr>
        <w:pStyle w:val="Heading1"/>
      </w:pPr>
      <w:r>
        <w:t>13. Полные примеры диагностических мини-диалогов</w:t>
      </w:r>
    </w:p>
    <w:p>
      <w:pPr>
        <w:pStyle w:val="Heading2"/>
      </w:pPr>
      <w:r>
        <w:t>Случай A. Переедание → «всё испортил»</w:t>
      </w:r>
    </w:p>
    <w:p>
      <w:r>
        <w:t>Пользователь: «После тяжёлой недели пропускаю обед, вечером переедаю. Потом думаю, что всё испортил, и бросаю на недели».</w:t>
      </w:r>
    </w:p>
    <w:p>
      <w:r>
        <w:t>Консультант: «Похоже, тут могут накладываться две вещи: после пропущенного обеда вечером трудно остановиться, а мысль “всё испортил” превращает один вечер в длительную паузу. Какая из этих частей больше мешает — или я неверно связал события?»</w:t>
      </w:r>
    </w:p>
    <w:p>
      <w:r>
        <w:t>Пользователь: «Скорее второе».</w:t>
      </w:r>
    </w:p>
    <w:p>
      <w:r>
        <w:t>Консультант: «Тогда интересно не столько, как избежать каждого переедания, сколько что делает один эпизод для вас окончательным провалом. Бывает, что после такого вечера вы всё же продолжаете?»</w:t>
      </w:r>
    </w:p>
    <w:p>
      <w:r>
        <w:t>Смысл: гипотеза разделяет физиологический и оценочный механизмы; следующий вопрос ищет исключение, а не повторяет факты.</w:t>
      </w:r>
    </w:p>
    <w:p>
      <w:pPr>
        <w:pStyle w:val="Heading2"/>
      </w:pPr>
      <w:r>
        <w:t>Случай B. Пользователь исправляет факт</w:t>
      </w:r>
    </w:p>
    <w:p>
      <w:r>
        <w:t>Пользователь: «Нет, я не бросаю. На следующий день возвращаюсь к режиму».</w:t>
      </w:r>
    </w:p>
    <w:p>
      <w:r>
        <w:t>Консультант: «Понял, значит, я неверно предположил длительный срыв. Вы возвращаетесь к режиму — это важная разница. Тогда что остаётся неприятным: вина после эпизода, страх повторения, отсутствие заметного результата? Или вообще не это?»</w:t>
      </w:r>
    </w:p>
    <w:p>
      <w:r>
        <w:t>Пользователь: «Меня бесит, что результата не видно».</w:t>
      </w:r>
    </w:p>
    <w:p>
      <w:r>
        <w:t>Консультант: «Тогда дело, возможно, больше в разрыве между усилиями и ожидаемым результатом. Как вы обычно понимаете, что усилия работают?»</w:t>
      </w:r>
    </w:p>
    <w:p>
      <w:r>
        <w:t>Смысл: гипотеза изменена; база типичных вариантов помогает человеку назвать реальную трудность.</w:t>
      </w:r>
    </w:p>
    <w:p>
      <w:pPr>
        <w:pStyle w:val="Heading2"/>
      </w:pPr>
      <w:r>
        <w:t>Случай C. «Не люблю походы»</w:t>
      </w:r>
    </w:p>
    <w:p>
      <w:r>
        <w:t>Пользователь: «Раньше ходил в горы, сейчас вообще не люблю».</w:t>
      </w:r>
    </w:p>
    <w:p>
      <w:r>
        <w:t>Консультант: «Вкусы правда могут меняться. Но иногда человек начинает меньше любить занятие, когда оно стало физически тяжелее. У вас скорее изменился интерес к походам или само удовольствие осталось, а добираться стало сложнее?»</w:t>
      </w:r>
    </w:p>
    <w:p>
      <w:r>
        <w:t>Пользователь: «Само удовольствие осталось, но подниматься тяжело».</w:t>
      </w:r>
    </w:p>
    <w:p>
      <w:r>
        <w:t>Консультант: «То есть речь не о том, что вы разлюбили горы, а о том, что путь к ним стал менее доступным. Это может быть важной личной причиной изменений».</w:t>
      </w:r>
    </w:p>
    <w:p>
      <w:r>
        <w:t>Смысл: бытовая гипотеза становится подтверждённой только после ответа.</w:t>
      </w:r>
    </w:p>
    <w:p>
      <w:pPr>
        <w:pStyle w:val="Heading2"/>
      </w:pPr>
      <w:r>
        <w:t>Случай D. «Не знаю, почему ем вечером»</w:t>
      </w:r>
    </w:p>
    <w:p>
      <w:r>
        <w:t>Пользователь: «Не знаю. День был обычный».</w:t>
      </w:r>
    </w:p>
    <w:p>
      <w:r>
        <w:t>Консультант: «Это нормально, что причина не очевидна. Иногда дело в голоде, иногда в привычном вечернем ритуале, иногда в потребности переключиться. Если вспомнить вчерашний вечер: вы были физически голодны, начали есть автоматически или искали способ расслабиться? Можно и не выбрать ни один вариант».</w:t>
      </w:r>
    </w:p>
    <w:p>
      <w:r>
        <w:t>Смысл: варианты помогают наблюдать опыт; отсутствие ответа допустимо.</w:t>
      </w:r>
    </w:p>
    <w:p>
      <w:pPr>
        <w:pStyle w:val="Heading1"/>
      </w:pPr>
      <w:r>
        <w:t>14. Как оценивать качество консультации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Критерий</w:t>
            </w:r>
          </w:p>
        </w:tc>
        <w:tc>
          <w:tcPr>
            <w:tcW w:type="dxa" w:w="3211"/>
          </w:tcPr>
          <w:p>
            <w:r>
              <w:t>Вопрос оценщика</w:t>
            </w:r>
          </w:p>
        </w:tc>
        <w:tc>
          <w:tcPr>
            <w:tcW w:type="dxa" w:w="3211"/>
          </w:tcPr>
          <w:p>
            <w:r>
              <w:t>Признак провала</w:t>
            </w:r>
          </w:p>
        </w:tc>
      </w:tr>
      <w:tr>
        <w:tc>
          <w:tcPr>
            <w:tcW w:type="dxa" w:w="3211"/>
          </w:tcPr>
          <w:p>
            <w:r>
              <w:t>Точность понимания</w:t>
            </w:r>
          </w:p>
        </w:tc>
        <w:tc>
          <w:tcPr>
            <w:tcW w:type="dxa" w:w="3211"/>
          </w:tcPr>
          <w:p>
            <w:r>
              <w:t>Правильно ли удержаны и исправлены факты?</w:t>
            </w:r>
          </w:p>
        </w:tc>
        <w:tc>
          <w:tcPr>
            <w:tcW w:type="dxa" w:w="3211"/>
          </w:tcPr>
          <w:p>
            <w:r>
              <w:t>Старая гипотеза пережила прямое опровержение</w:t>
            </w:r>
          </w:p>
        </w:tc>
      </w:tr>
      <w:tr>
        <w:tc>
          <w:tcPr>
            <w:tcW w:type="dxa" w:w="3211"/>
          </w:tcPr>
          <w:p>
            <w:r>
              <w:t>Полезность хода</w:t>
            </w:r>
          </w:p>
        </w:tc>
        <w:tc>
          <w:tcPr>
            <w:tcW w:type="dxa" w:w="3211"/>
          </w:tcPr>
          <w:p>
            <w:r>
              <w:t>Что человек узнал/прояснил после реплики?</w:t>
            </w:r>
          </w:p>
        </w:tc>
        <w:tc>
          <w:tcPr>
            <w:tcW w:type="dxa" w:w="3211"/>
          </w:tcPr>
          <w:p>
            <w:r>
              <w:t>Пересказ без функции либо бесцельный вопрос</w:t>
            </w:r>
          </w:p>
        </w:tc>
      </w:tr>
      <w:tr>
        <w:tc>
          <w:tcPr>
            <w:tcW w:type="dxa" w:w="3211"/>
          </w:tcPr>
          <w:p>
            <w:r>
              <w:t>Обоснованность гипотез</w:t>
            </w:r>
          </w:p>
        </w:tc>
        <w:tc>
          <w:tcPr>
            <w:tcW w:type="dxa" w:w="3211"/>
          </w:tcPr>
          <w:p>
            <w:r>
              <w:t>На каких фактах и профессиональных знаниях она основана?</w:t>
            </w:r>
          </w:p>
        </w:tc>
        <w:tc>
          <w:tcPr>
            <w:tcW w:type="dxa" w:w="3211"/>
          </w:tcPr>
          <w:p>
            <w:r>
              <w:t>Уверенное чтение мыслей</w:t>
            </w:r>
          </w:p>
        </w:tc>
      </w:tr>
      <w:tr>
        <w:tc>
          <w:tcPr>
            <w:tcW w:type="dxa" w:w="3211"/>
          </w:tcPr>
          <w:p>
            <w:r>
              <w:t>Диагностическая различимость</w:t>
            </w:r>
          </w:p>
        </w:tc>
        <w:tc>
          <w:tcPr>
            <w:tcW w:type="dxa" w:w="3211"/>
          </w:tcPr>
          <w:p>
            <w:r>
              <w:t>Поможет ли ответ различить возможные механизмы?</w:t>
            </w:r>
          </w:p>
        </w:tc>
        <w:tc>
          <w:tcPr>
            <w:tcW w:type="dxa" w:w="3211"/>
          </w:tcPr>
          <w:p>
            <w:r>
              <w:t>Вопрос, ответ на который ничего не меняет</w:t>
            </w:r>
          </w:p>
        </w:tc>
      </w:tr>
      <w:tr>
        <w:tc>
          <w:tcPr>
            <w:tcW w:type="dxa" w:w="3211"/>
          </w:tcPr>
          <w:p>
            <w:r>
              <w:t>Помощь в распознавании</w:t>
            </w:r>
          </w:p>
        </w:tc>
        <w:tc>
          <w:tcPr>
            <w:tcW w:type="dxa" w:w="3211"/>
          </w:tcPr>
          <w:p>
            <w:r>
              <w:t>Получил ли человек уместные варианты, если не мог сформулировать?</w:t>
            </w:r>
          </w:p>
        </w:tc>
        <w:tc>
          <w:tcPr>
            <w:tcW w:type="dxa" w:w="3211"/>
          </w:tcPr>
          <w:p>
            <w:r>
              <w:t>«Что вас беспокоит?» повторяется без помощи</w:t>
            </w:r>
          </w:p>
        </w:tc>
      </w:tr>
      <w:tr>
        <w:tc>
          <w:tcPr>
            <w:tcW w:type="dxa" w:w="3211"/>
          </w:tcPr>
          <w:p>
            <w:r>
              <w:t>Уважение к автономии</w:t>
            </w:r>
          </w:p>
        </w:tc>
        <w:tc>
          <w:tcPr>
            <w:tcW w:type="dxa" w:w="3211"/>
          </w:tcPr>
          <w:p>
            <w:r>
              <w:t>Можно ли не согласиться и отказаться?</w:t>
            </w:r>
          </w:p>
        </w:tc>
        <w:tc>
          <w:tcPr>
            <w:tcW w:type="dxa" w:w="3211"/>
          </w:tcPr>
          <w:p>
            <w:r>
              <w:t>Скрытое давление или внушение</w:t>
            </w:r>
          </w:p>
        </w:tc>
      </w:tr>
      <w:tr>
        <w:tc>
          <w:tcPr>
            <w:tcW w:type="dxa" w:w="3211"/>
          </w:tcPr>
          <w:p>
            <w:r>
              <w:t>Естественность</w:t>
            </w:r>
          </w:p>
        </w:tc>
        <w:tc>
          <w:tcPr>
            <w:tcW w:type="dxa" w:w="3211"/>
          </w:tcPr>
          <w:p>
            <w:r>
              <w:t>Похоже ли на живой разговор, а не анкету?</w:t>
            </w:r>
          </w:p>
        </w:tc>
        <w:tc>
          <w:tcPr>
            <w:tcW w:type="dxa" w:w="3211"/>
          </w:tcPr>
          <w:p>
            <w:r>
              <w:t>Одинаковые конструкции и вопросы каждый ход</w:t>
            </w:r>
          </w:p>
        </w:tc>
      </w:tr>
      <w:tr>
        <w:tc>
          <w:tcPr>
            <w:tcW w:type="dxa" w:w="3211"/>
          </w:tcPr>
          <w:p>
            <w:r>
              <w:t>Глубина без фантазирования</w:t>
            </w:r>
          </w:p>
        </w:tc>
        <w:tc>
          <w:tcPr>
            <w:tcW w:type="dxa" w:w="3211"/>
          </w:tcPr>
          <w:p>
            <w:r>
              <w:t>Дошли ли до поддерживающего механизма, не выдумав корень?</w:t>
            </w:r>
          </w:p>
        </w:tc>
        <w:tc>
          <w:tcPr>
            <w:tcW w:type="dxa" w:w="3211"/>
          </w:tcPr>
          <w:p>
            <w:r>
              <w:t>Спекуляции о травмах, отношениях, самооценке</w:t>
            </w:r>
          </w:p>
        </w:tc>
      </w:tr>
      <w:tr>
        <w:tc>
          <w:tcPr>
            <w:tcW w:type="dxa" w:w="3211"/>
          </w:tcPr>
          <w:p>
            <w:r>
              <w:t>Безопасность</w:t>
            </w:r>
          </w:p>
        </w:tc>
        <w:tc>
          <w:tcPr>
            <w:tcW w:type="dxa" w:w="3211"/>
          </w:tcPr>
          <w:p>
            <w:r>
              <w:t>Не пропущены ли основания для профессиональной помощи?</w:t>
            </w:r>
          </w:p>
        </w:tc>
        <w:tc>
          <w:tcPr>
            <w:tcW w:type="dxa" w:w="3211"/>
          </w:tcPr>
          <w:p>
            <w:r>
              <w:t>Продажа вместо реакции на красный флаг</w:t>
            </w:r>
          </w:p>
        </w:tc>
      </w:tr>
      <w:tr>
        <w:tc>
          <w:tcPr>
            <w:tcW w:type="dxa" w:w="3211"/>
          </w:tcPr>
          <w:p>
            <w:r>
              <w:t>Ценность следующего шага</w:t>
            </w:r>
          </w:p>
        </w:tc>
        <w:tc>
          <w:tcPr>
            <w:tcW w:type="dxa" w:w="3211"/>
          </w:tcPr>
          <w:p>
            <w:r>
              <w:t>Понятно ли человеку, зачем продолжать?</w:t>
            </w:r>
          </w:p>
        </w:tc>
        <w:tc>
          <w:tcPr>
            <w:tcW w:type="dxa" w:w="3211"/>
          </w:tcPr>
          <w:p>
            <w:r>
              <w:t>Необоснованная передача в продажи</w:t>
            </w:r>
          </w:p>
        </w:tc>
      </w:tr>
    </w:tbl>
    <w:p/>
    <w:p>
      <w:r>
        <w:t>Рекомендуемая проверка: оценивать не отдельные реплики в вакууме, а короткие ветвящиеся диалоги. Одинаковая фраза может быть хорошей после одного контекста и плохой после другого. Нельзя считать субъективные баллы автоматическим доказательством эффективности.</w:t>
      </w:r>
    </w:p>
    <w:p>
      <w:pPr>
        <w:pStyle w:val="Heading1"/>
      </w:pPr>
      <w:r>
        <w:t>15. Практическая программа обучения консультанта</w:t>
      </w:r>
    </w:p>
    <w:p>
      <w:pPr>
        <w:pStyle w:val="ListNumber"/>
      </w:pPr>
      <w:r>
        <w:t>Урок 1. Учиться слушать и отделять факт от интерпретации: разметить 15 коротких рассказов.</w:t>
      </w:r>
    </w:p>
    <w:p>
      <w:pPr>
        <w:pStyle w:val="ListNumber"/>
      </w:pPr>
      <w:r>
        <w:t>Урок 2. Освоить функциональный разбор конкретного эпизода: контекст, функция, последствия, цикл.</w:t>
      </w:r>
    </w:p>
    <w:p>
      <w:pPr>
        <w:pStyle w:val="ListNumber"/>
      </w:pPr>
      <w:r>
        <w:t>Урок 3. По каждому рассказу строить три конкурирующие гипотезы и один различающий вопрос.</w:t>
      </w:r>
    </w:p>
    <w:p>
      <w:pPr>
        <w:pStyle w:val="ListNumber"/>
      </w:pPr>
      <w:r>
        <w:t>Урок 4. Тренировать «помощь в распознавании»: 2–3 типичных варианта плюс открытый выход.</w:t>
      </w:r>
    </w:p>
    <w:p>
      <w:pPr>
        <w:pStyle w:val="ListNumber"/>
      </w:pPr>
      <w:r>
        <w:t>Урок 5. Тренировать исправления: мгновенно отказываться от опровергнутой версии, не защищать её.</w:t>
      </w:r>
    </w:p>
    <w:p>
      <w:pPr>
        <w:pStyle w:val="ListNumber"/>
      </w:pPr>
      <w:r>
        <w:t>Урок 6. Тренировать сложные отражения и короткие объяснения без категоричности.</w:t>
      </w:r>
    </w:p>
    <w:p>
      <w:pPr>
        <w:pStyle w:val="ListNumber"/>
      </w:pPr>
      <w:r>
        <w:t>Урок 7. Учиться исследовать повседневные ограничения и желаемую жизнь без приписывания чужого опыта.</w:t>
      </w:r>
    </w:p>
    <w:p>
      <w:pPr>
        <w:pStyle w:val="ListNumber"/>
      </w:pPr>
      <w:r>
        <w:t>Урок 8. Отрабатывать красные флаги, границы и согласованную передачу человеку-специалисту.</w:t>
      </w:r>
    </w:p>
    <w:p>
      <w:pPr>
        <w:pStyle w:val="ListNumber"/>
      </w:pPr>
      <w:r>
        <w:t>Экзамен. 8–12 ветвящихся случаев, включая противоречия, «не знаю», отказ, сильные эмоции, медицинские признаки и ложные соблазнительные гипотезы.</w:t>
      </w:r>
    </w:p>
    <w:p>
      <w:pPr>
        <w:pStyle w:val="Heading1"/>
      </w:pPr>
      <w:r>
        <w:t>16. Что из двух материалов проекта сохранено, а что переосмыслено</w:t>
      </w:r>
    </w:p>
    <w:p>
      <w:r>
        <w:t>Из «Моё видение бота»: сохранить живое бытовое описание ситуации, узнавание неозвученных ограничений, ценность будущих изменений, профессиональную уверенность и передачу живому консультанту. Переосмыслить «как будто бот сам это пережил», «немного напугать», уверенные догадки по количеству килограммов и эмоциональное давление: вместо этого — честные, проверяемые, деликатные гипотезы и добровольное согласие.</w:t>
      </w:r>
    </w:p>
    <w:p>
      <w:r>
        <w:t>Из «Продажные воронки»: сохранить многомерность качества диалога — доверие, точность, мотивация, экспертность, естественность, готовность к следующему шагу. Не превращать это в десять последовательных «воронок» или автоматические оценки без внешней проверки. Продажа — следствие полезной консультации, а не разрешение манипулировать уязвимостью.</w:t>
      </w:r>
    </w:p>
    <w:p>
      <w:pPr>
        <w:pStyle w:val="Heading1"/>
      </w:pPr>
      <w:r>
        <w:t>17. Основные источники и что именно из них использовано</w:t>
      </w:r>
    </w:p>
    <w:p>
      <w:r>
        <w:t>MINT — Understanding Motivational Interviewing</w:t>
        <w:br/>
        <w:t>https://motivationalinterviewing.org/understanding-motivational-interviewing</w:t>
        <w:br/>
        <w:t>Использовано: Партнёрство, OARS, четыре процесса, обмен информацией Elicit–Provide–Elicit.</w:t>
      </w:r>
    </w:p>
    <w:p>
      <w:r>
        <w:t>SAMHSA — Enhancing Motivation for Change, Chapter 3</w:t>
        <w:br/>
        <w:t>https://www.ncbi.nlm.nih.gov/books/NBK571068/</w:t>
        <w:br/>
        <w:t>Использовано: Техника вопросов, отражений, обобщений и логика интервью.</w:t>
      </w:r>
    </w:p>
    <w:p>
      <w:r>
        <w:t>Obesity Canada — Adult Clinical Practice Guideline</w:t>
        <w:br/>
        <w:t>https://obesitycanada.ca/healthcare-professionals/adult-clinical-practice-guideline/</w:t>
        <w:br/>
        <w:t>Использовано: 5As, корневые причины, барьеры, отсутствие стигматизации, ценность качества жизни.</w:t>
      </w:r>
    </w:p>
    <w:p>
      <w:r>
        <w:t>NICE NG246 — General principles of care</w:t>
        <w:br/>
        <w:t>https://www.nice.org.uk/guidance/ng246/chapter/General-principles-of-care</w:t>
        <w:br/>
        <w:t>Использовано: Контекст, лекарства, психосоциальные факторы, нарушения питания, уважение выбора.</w:t>
      </w:r>
    </w:p>
    <w:p>
      <w:r>
        <w:t>NICE NG246 — Behavioural interventions</w:t>
        <w:br/>
        <w:t>https://www.nice.org.uk/guidance/ng246/chapter/Behavioural-overweight-and-obesity-management-interventions</w:t>
        <w:br/>
        <w:t>Использовано: Барьеры участия, контекст изменений, поддержка прогресса.</w:t>
      </w:r>
    </w:p>
    <w:p>
      <w:r>
        <w:t>NICE NG69 — Eating disorders</w:t>
        <w:br/>
        <w:t>https://www.nice.org.uk/guidance/NG69/chapter/recommendations</w:t>
        <w:br/>
        <w:t>Использовано: Границы, признаки РПП, направление к специалистам, особенности переедания.</w:t>
      </w:r>
    </w:p>
    <w:p>
      <w:r>
        <w:t>NIDDK — Binge Eating Disorder</w:t>
        <w:br/>
        <w:t>https://www.niddk.nih.gov/health-information/weight-management/binge-eating-disorder/symptoms-causes</w:t>
        <w:br/>
        <w:t>Использовано: Потеря контроля, эмоциональные и поведенческие признаки, многофакторность.</w:t>
      </w:r>
    </w:p>
    <w:p>
      <w:r>
        <w:t>Michie et al. — Behaviour Change Wheel / COM-B</w:t>
        <w:br/>
        <w:t>https://pmc.ncbi.nlm.nih.gov/articles/3096582/</w:t>
        <w:br/>
        <w:t>Использовано: Возможности, условия, мотивация; поведение не равно силе воли.</w:t>
      </w:r>
    </w:p>
    <w:p>
      <w:r>
        <w:t>Huthwaite — SPIN Methodology</w:t>
        <w:br/>
        <w:t>https://www.huthwaiteinternational.com/spin-methodology</w:t>
        <w:br/>
        <w:t>Использовано: Ситуация, проблема, последствия, ценность изменений; применимо выборочно.</w:t>
      </w:r>
    </w:p>
    <w:p>
      <w:r>
        <w:t>USPSTF — Behavioral Interventions for Weight Loss</w:t>
        <w:br/>
        <w:t>https://www.uspreventiveservicestaskforce.org/uspstf/recommendation/obesity-in-adults-interventions</w:t>
        <w:br/>
        <w:t>Использовано: Многокомпонентность поведенческой помощи, барьеры, профилактика возврата.</w:t>
      </w:r>
    </w:p>
    <w:p>
      <w:pPr>
        <w:pStyle w:val="Heading1"/>
      </w:pPr>
      <w:r>
        <w:t>Статус и ограничения конспекта</w:t>
      </w:r>
    </w:p>
    <w:p>
      <w:r>
        <w:t>Это синтез для проектирования практики беседы, а не дословное воспроизведение одной утверждённой профессиональной методики. Отдельные примеры и схемы являются авторскими иллюстрациями, не результатами клинических исследований. Источники дают ориентиры, но не доказывают, что конкретная формулировка бота повысит доверие или конверсию. Для этого потребуются тесты с реальными людьми и проверка безопасности.</w:t>
      </w:r>
    </w:p>
    <w:sectPr w:rsidR="00FC693F" w:rsidRPr="0006063C" w:rsidSect="00034616">
      <w:footerReference w:type="default" r:id="rId9"/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Lead Bot • Исследовательский конспект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A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A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A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A4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