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F2F0A32" w14:textId="622329F6">
      <w:pPr>
        <w:pBdr/>
        <w:spacing/>
        <w:ind/>
        <w:jc w:val="center"/>
        <w:rPr>
          <w:u w:val="single"/>
        </w:rPr>
      </w:pPr>
      <w:r>
        <w:rPr>
          <w:b/>
          <w:bCs/>
          <w:u w:val="single"/>
        </w:rPr>
        <w:t xml:space="preserve">Project:</w:t>
      </w:r>
      <w:r>
        <w:rPr>
          <w:u w:val="single"/>
        </w:rPr>
        <w:t xml:space="preserve"> ACME Bank CLI Banking System</w:t>
      </w:r>
      <w:r>
        <w:rPr>
          <w:u w:val="single"/>
        </w:rPr>
      </w:r>
    </w:p>
    <w:p w14:paraId="414C6D17" w14:textId="77777777">
      <w:pPr>
        <w:pBdr/>
        <w:spacing/>
        <w:ind/>
        <w:rPr>
          <w:b/>
          <w:bCs/>
        </w:rPr>
      </w:pPr>
      <w:r>
        <w:rPr>
          <w:b/>
          <w:bCs/>
        </w:rPr>
        <w:t xml:space="preserve">Purpose</w:t>
      </w:r>
      <w:r>
        <w:rPr>
          <w:b/>
          <w:bCs/>
        </w:rPr>
      </w:r>
    </w:p>
    <w:p w14:paraId="2C01CFAF" w14:textId="77777777">
      <w:pPr>
        <w:pBdr/>
        <w:spacing/>
        <w:ind/>
        <w:rPr/>
      </w:pPr>
      <w:r>
        <w:t xml:space="preserve">This document records the deliberate simplifications and interpretations used in the implementation of the Acme </w:t>
      </w:r>
      <w:r>
        <w:t xml:space="preserve">Bank Teller System. These assumptions have been made where the project brief leaves room for interpretation or explicitly allows simplification, and each assumption is justified to show that it is a conscious design decision rather than a missing feature. </w:t>
      </w:r>
      <w:r/>
    </w:p>
    <w:p w14:paraId="6DCA2FA5" w14:textId="77777777">
      <w:pPr>
        <w:pBdr/>
        <w:spacing/>
        <w:ind/>
        <w:rPr>
          <w:b/>
          <w:bCs/>
        </w:rPr>
      </w:pPr>
      <w:r>
        <w:rPr>
          <w:b/>
          <w:bCs/>
        </w:rPr>
        <w:t xml:space="preserve">1. Teller access and customer authentication</w:t>
      </w:r>
      <w:r>
        <w:rPr>
          <w:b/>
          <w:bCs/>
        </w:rPr>
      </w:r>
    </w:p>
    <w:p w14:paraId="0092C5BB" w14:textId="77777777">
      <w:pPr>
        <w:pBdr/>
        <w:spacing/>
        <w:ind/>
        <w:rPr/>
      </w:pPr>
      <w:r>
        <w:rPr>
          <w:b/>
          <w:bCs/>
        </w:rPr>
        <w:t xml:space="preserve">Assumption:</w:t>
      </w:r>
      <w:r>
        <w:br/>
        <w:t xml:space="preserve">The application is used by bank tellers only, so there is no separate teller login. “Authentication” in this project refers to the teller identifying the correct customer before performing account operations.</w:t>
      </w:r>
      <w:r/>
    </w:p>
    <w:p w14:paraId="19B842EB" w14:textId="77777777">
      <w:pPr>
        <w:pBdr/>
        <w:spacing/>
        <w:ind/>
        <w:rPr/>
      </w:pPr>
      <w:r>
        <w:rPr>
          <w:b/>
          <w:bCs/>
        </w:rPr>
        <w:t xml:space="preserve">Justification:</w:t>
      </w:r>
      <w:r>
        <w:br/>
        <w:t xml:space="preserve">The br</w:t>
      </w:r>
      <w:r>
        <w:t xml:space="preserve">ief says the system is exclusively for bank tellers and that tellers must authenticate customers before any transactions take place. It does not ask for staff login, passwords, or encryption, and it explicitly says real-world secure login is not required. </w:t>
      </w:r>
      <w:r/>
    </w:p>
    <w:p w14:paraId="4CEBFCC0" w14:textId="77777777">
      <w:pPr>
        <w:pBdr/>
        <w:spacing/>
        <w:ind/>
        <w:rPr/>
      </w:pPr>
      <w:r>
        <mc:AlternateContent>
          <mc:Choice Requires="wpg">
            <w:drawing>
              <wp:inline xmlns:wp="http://schemas.openxmlformats.org/drawingml/2006/wordprocessingDrawing" distT="0" distB="0" distL="0" distR="0">
                <wp:extent cx="0" cy="19050"/>
                <wp:effectExtent l="0" t="0" r="0" b="0"/>
                <wp:docPr id="1" name="_x0000_i102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0" o:spid="_x0000_s0" o:spt="1" type="#_x0000_t1" style="width:0.00pt;height:1.50pt;mso-wrap-distance-left:0.00pt;mso-wrap-distance-top:0.00pt;mso-wrap-distance-right:0.00pt;mso-wrap-distance-bottom:0.00pt;visibility:visible;" fillcolor="#A0A0A0" stroked="f"/>
            </w:pict>
          </mc:Fallback>
        </mc:AlternateContent>
      </w:r>
      <w:r/>
    </w:p>
    <w:p w14:paraId="144C2CC1" w14:textId="77777777">
      <w:pPr>
        <w:pBdr/>
        <w:spacing/>
        <w:ind/>
        <w:rPr>
          <w:b/>
          <w:bCs/>
        </w:rPr>
      </w:pPr>
      <w:r>
        <w:rPr>
          <w:b/>
          <w:bCs/>
        </w:rPr>
        <w:t xml:space="preserve">2. Customer identifier and disambiguation</w:t>
      </w:r>
      <w:r>
        <w:rPr>
          <w:b/>
          <w:bCs/>
        </w:rPr>
      </w:r>
    </w:p>
    <w:p w14:paraId="495D9F8F" w14:textId="77777777">
      <w:pPr>
        <w:pBdr/>
        <w:spacing/>
        <w:ind/>
        <w:rPr/>
      </w:pPr>
      <w:r>
        <w:rPr>
          <w:b/>
          <w:bCs/>
        </w:rPr>
        <w:t xml:space="preserve">Assumption:</w:t>
      </w:r>
      <w:r>
        <w:br/>
        <w:t xml:space="preserve">Each customer is assigned a unique 6-digit Customer ID generat</w:t>
      </w:r>
      <w:r>
        <w:t xml:space="preserve">ed automatically by the system. This is the main identifier used by tellers. If the teller searches using non-unique information, such as name, the system shows matching customers and requires the teller to select the correct Customer ID before continuing.</w:t>
      </w:r>
      <w:r/>
    </w:p>
    <w:p w14:paraId="27BF1AAD" w14:textId="77777777">
      <w:pPr>
        <w:pBdr/>
        <w:spacing/>
        <w:ind/>
        <w:rPr/>
      </w:pPr>
      <w:r>
        <w:rPr>
          <w:b/>
          <w:bCs/>
        </w:rPr>
        <w:t xml:space="preserve">Justification:</w:t>
      </w:r>
      <w:r>
        <w:br/>
        <w:t xml:space="preserve">The brief allows the use of a Customer ID, National Insu</w:t>
      </w:r>
      <w:r>
        <w:t xml:space="preserve">rance number, or another chosen identifier. A numeric Customer ID is simpler to validate in a CLI and avoids unnecessary complexity around NI-number formatting. This also addresses the brief’s requirement to handle cases where similar customer details may </w:t>
      </w:r>
      <w:r>
        <w:t xml:space="preserve">exist</w:t>
      </w:r>
      <w:r>
        <w:t xml:space="preserve"> and the system needs to disambiguate them. </w:t>
      </w:r>
      <w:r/>
    </w:p>
    <w:p w14:paraId="696F1DA3" w14:textId="77777777">
      <w:pPr>
        <w:pBdr/>
        <w:spacing/>
        <w:ind/>
        <w:rPr/>
      </w:pPr>
      <w:r>
        <mc:AlternateContent>
          <mc:Choice Requires="wpg">
            <w:drawing>
              <wp:inline xmlns:wp="http://schemas.openxmlformats.org/drawingml/2006/wordprocessingDrawing" distT="0" distB="0" distL="0" distR="0">
                <wp:extent cx="0" cy="19050"/>
                <wp:effectExtent l="0" t="0" r="0" b="0"/>
                <wp:docPr id="2" name="_x0000_i102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 o:spid="_x0000_s1" o:spt="1" type="#_x0000_t1" style="width:0.00pt;height:1.50pt;mso-wrap-distance-left:0.00pt;mso-wrap-distance-top:0.00pt;mso-wrap-distance-right:0.00pt;mso-wrap-distance-bottom:0.00pt;visibility:visible;" fillcolor="#A0A0A0" stroked="f"/>
            </w:pict>
          </mc:Fallback>
        </mc:AlternateContent>
      </w:r>
      <w:r/>
    </w:p>
    <w:p w14:paraId="66D0D84B" w14:textId="77777777">
      <w:pPr>
        <w:pBdr/>
        <w:spacing/>
        <w:ind/>
        <w:rPr>
          <w:b/>
          <w:bCs/>
        </w:rPr>
      </w:pPr>
      <w:r>
        <w:rPr>
          <w:b/>
          <w:bCs/>
        </w:rPr>
        <w:t xml:space="preserve">3. Personal account ID checks</w:t>
      </w:r>
      <w:r>
        <w:rPr>
          <w:b/>
          <w:bCs/>
        </w:rPr>
      </w:r>
    </w:p>
    <w:p w14:paraId="7506AC87" w14:textId="77777777">
      <w:pPr>
        <w:pBdr/>
        <w:spacing/>
        <w:ind/>
        <w:rPr/>
      </w:pPr>
      <w:r>
        <w:rPr>
          <w:b/>
          <w:bCs/>
        </w:rPr>
        <w:t xml:space="preserve">Assumption:</w:t>
      </w:r>
      <w:r>
        <w:br/>
        <w:t xml:space="preserve">For Personal Accounts, the system records whether two forms of ID have been </w:t>
      </w:r>
      <w:r>
        <w:t xml:space="preserve">presented: one photo ID and one address ID. The teller confirms these through menu input, but the system does not connect to any external verification service.</w:t>
      </w:r>
      <w:r/>
    </w:p>
    <w:p w14:paraId="1C15BDD7" w14:textId="77777777">
      <w:pPr>
        <w:pBdr/>
        <w:spacing/>
        <w:ind/>
        <w:rPr/>
      </w:pPr>
      <w:r>
        <w:rPr>
          <w:b/>
          <w:bCs/>
        </w:rPr>
        <w:t xml:space="preserve">Justification:</w:t>
      </w:r>
      <w:r>
        <w:br/>
        <w:t xml:space="preserve">The brief require</w:t>
      </w:r>
      <w:r>
        <w:t xml:space="preserve">s validation of two forms of ID for Personal Accounts, but it does not require integration with real document-checking services. Recording the ID types presented is enough to show that the rule has been enforced within the scope of this coursework system. </w:t>
      </w:r>
      <w:r/>
    </w:p>
    <w:p w14:paraId="0920B242" w14:textId="77777777">
      <w:pPr>
        <w:pBdr/>
        <w:spacing/>
        <w:ind/>
        <w:rPr/>
      </w:pPr>
      <w:r>
        <mc:AlternateContent>
          <mc:Choice Requires="wpg">
            <w:drawing>
              <wp:inline xmlns:wp="http://schemas.openxmlformats.org/drawingml/2006/wordprocessingDrawing" distT="0" distB="0" distL="0" distR="0">
                <wp:extent cx="0" cy="19050"/>
                <wp:effectExtent l="0" t="0" r="0" b="0"/>
                <wp:docPr id="3" name="_x0000_i102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 o:spid="_x0000_s2" o:spt="1" type="#_x0000_t1" style="width:0.00pt;height:1.50pt;mso-wrap-distance-left:0.00pt;mso-wrap-distance-top:0.00pt;mso-wrap-distance-right:0.00pt;mso-wrap-distance-bottom:0.00pt;visibility:visible;" fillcolor="#A0A0A0" stroked="f"/>
            </w:pict>
          </mc:Fallback>
        </mc:AlternateContent>
      </w:r>
      <w:r/>
    </w:p>
    <w:p w14:paraId="46633696" w14:textId="77777777">
      <w:pPr>
        <w:pBdr/>
        <w:spacing/>
        <w:ind/>
        <w:rPr>
          <w:b/>
          <w:bCs/>
        </w:rPr>
      </w:pPr>
      <w:r>
        <w:rPr>
          <w:b/>
          <w:bCs/>
        </w:rPr>
        <w:t xml:space="preserve">4. Account number generation</w:t>
      </w:r>
      <w:r>
        <w:rPr>
          <w:b/>
          <w:bCs/>
        </w:rPr>
      </w:r>
    </w:p>
    <w:p w14:paraId="67320390" w14:textId="25659627">
      <w:pPr>
        <w:pBdr/>
        <w:spacing/>
        <w:ind/>
        <w:rPr/>
      </w:pPr>
      <w:r>
        <w:rPr>
          <w:b/>
          <w:bCs/>
        </w:rPr>
        <w:t xml:space="preserve">Assumption:</w:t>
      </w:r>
      <w:r>
        <w:br/>
      </w:r>
      <w:r>
        <w:t xml:space="preserve">Account numbers are generated randomly as 8-digit numeric values. Each newly generated number is checked against existing account numbers in the system, and if a duplicate is found, a new number is generated until a unique value is produced.</w:t>
      </w:r>
      <w:r/>
    </w:p>
    <w:p w14:paraId="04BF9ACF" w14:textId="74A5FF25">
      <w:pPr>
        <w:pBdr/>
        <w:spacing/>
        <w:ind/>
        <w:rPr/>
      </w:pPr>
      <w:r>
        <w:rPr>
          <w:b/>
          <w:bCs/>
        </w:rPr>
        <w:t xml:space="preserve">Justification:</w:t>
      </w:r>
      <w:r>
        <w:br/>
      </w:r>
      <w:r>
        <w:t xml:space="preserve">The brief allows account numbers to be generated randomly or sequentially, </w:t>
      </w:r>
      <w:r>
        <w:t xml:space="preserve">if</w:t>
      </w:r>
      <w:r>
        <w:t xml:space="preserve"> they are 8 digits long, assigned automatically, and guaranteed to be u</w:t>
      </w:r>
      <w:r>
        <w:t xml:space="preserve">nique. Since this project uses random generation, uniqueness is enforced by validating each generated number against stored accounts before it is assigned. This keeps the process aligned with the project brief while avoiding any manual input by the teller.</w:t>
      </w:r>
      <w:r/>
    </w:p>
    <w:p w14:paraId="45A2B577" w14:textId="77777777">
      <w:pPr>
        <w:pBdr/>
        <w:spacing/>
        <w:ind/>
        <w:rPr/>
      </w:pPr>
      <w:r>
        <mc:AlternateContent>
          <mc:Choice Requires="wpg">
            <w:drawing>
              <wp:inline xmlns:wp="http://schemas.openxmlformats.org/drawingml/2006/wordprocessingDrawing" distT="0" distB="0" distL="0" distR="0">
                <wp:extent cx="0" cy="19050"/>
                <wp:effectExtent l="0" t="0" r="0" b="0"/>
                <wp:docPr id="4" name="_x0000_i102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 o:spid="_x0000_s3" o:spt="1" type="#_x0000_t1" style="width:0.00pt;height:1.50pt;mso-wrap-distance-left:0.00pt;mso-wrap-distance-top:0.00pt;mso-wrap-distance-right:0.00pt;mso-wrap-distance-bottom:0.00pt;visibility:visible;" fillcolor="#A0A0A0" stroked="f"/>
            </w:pict>
          </mc:Fallback>
        </mc:AlternateContent>
      </w:r>
      <w:r/>
    </w:p>
    <w:p w14:paraId="0E186DE6" w14:textId="77777777">
      <w:pPr>
        <w:pBdr/>
        <w:spacing/>
        <w:ind/>
        <w:rPr>
          <w:b/>
          <w:bCs/>
        </w:rPr>
      </w:pPr>
      <w:r>
        <w:rPr>
          <w:b/>
          <w:bCs/>
        </w:rPr>
        <w:t xml:space="preserve">5. Sort code assignment</w:t>
      </w:r>
      <w:r>
        <w:rPr>
          <w:b/>
          <w:bCs/>
        </w:rPr>
      </w:r>
    </w:p>
    <w:p w14:paraId="5A3CD7F6" w14:textId="77777777">
      <w:pPr>
        <w:pBdr/>
        <w:spacing/>
        <w:ind/>
        <w:rPr/>
      </w:pPr>
      <w:r>
        <w:rPr>
          <w:b/>
          <w:bCs/>
        </w:rPr>
        <w:t xml:space="preserve">Assumption:</w:t>
      </w:r>
      <w:r>
        <w:br/>
        <w:t xml:space="preserve">Sort codes are assigned automatically based only on account type and cannot be changed after account creation.</w:t>
      </w:r>
      <w:r/>
    </w:p>
    <w:p w14:paraId="6B35D62D" w14:textId="77777777">
      <w:pPr>
        <w:pBdr/>
        <w:spacing/>
        <w:ind/>
        <w:rPr/>
      </w:pPr>
      <w:r>
        <w:rPr>
          <w:b/>
          <w:bCs/>
        </w:rPr>
        <w:t xml:space="preserve">Justification:</w:t>
      </w:r>
      <w:r>
        <w:br/>
        <w:t xml:space="preserve">This is treated as fixed system behaviour rather than a teller-controlled field, because the brief states that sort codes must be hard-coded by account type and automatically assigned during account creation. </w:t>
      </w:r>
      <w:r/>
    </w:p>
    <w:p w14:paraId="0B666613" w14:textId="77777777">
      <w:pPr>
        <w:pBdr/>
        <w:spacing/>
        <w:ind/>
        <w:rPr/>
      </w:pPr>
      <w:r>
        <mc:AlternateContent>
          <mc:Choice Requires="wpg">
            <w:drawing>
              <wp:inline xmlns:wp="http://schemas.openxmlformats.org/drawingml/2006/wordprocessingDrawing" distT="0" distB="0" distL="0" distR="0">
                <wp:extent cx="0" cy="19050"/>
                <wp:effectExtent l="0" t="0" r="0" b="0"/>
                <wp:docPr id="5" name="_x0000_i102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 o:spid="_x0000_s4" o:spt="1" type="#_x0000_t1" style="width:0.00pt;height:1.50pt;mso-wrap-distance-left:0.00pt;mso-wrap-distance-top:0.00pt;mso-wrap-distance-right:0.00pt;mso-wrap-distance-bottom:0.00pt;visibility:visible;" fillcolor="#A0A0A0" stroked="f"/>
            </w:pict>
          </mc:Fallback>
        </mc:AlternateContent>
      </w:r>
      <w:r/>
    </w:p>
    <w:p w14:paraId="7266A5C4" w14:textId="77777777">
      <w:pPr>
        <w:pBdr/>
        <w:spacing/>
        <w:ind/>
        <w:rPr>
          <w:b/>
          <w:bCs/>
        </w:rPr>
      </w:pPr>
      <w:r>
        <w:rPr>
          <w:b/>
          <w:bCs/>
        </w:rPr>
        <w:t xml:space="preserve">6. Currency and money handling</w:t>
      </w:r>
      <w:r>
        <w:rPr>
          <w:b/>
          <w:bCs/>
        </w:rPr>
      </w:r>
    </w:p>
    <w:p w14:paraId="66F23940" w14:textId="77777777">
      <w:pPr>
        <w:pBdr/>
        <w:spacing/>
        <w:ind/>
        <w:rPr/>
      </w:pPr>
      <w:r>
        <w:rPr>
          <w:b/>
          <w:bCs/>
        </w:rPr>
        <w:t xml:space="preserve">Assumption:</w:t>
      </w:r>
      <w:r>
        <w:br/>
        <w:t xml:space="preserve">All balances, fees, interest, deposits, and withdrawals are handled in pounds sterling (£) and stored to two decimal places.</w:t>
      </w:r>
      <w:r/>
    </w:p>
    <w:p w14:paraId="758B3F90" w14:textId="77777777">
      <w:pPr>
        <w:pBdr/>
        <w:spacing/>
        <w:ind/>
        <w:rPr/>
      </w:pPr>
      <w:r>
        <w:rPr>
          <w:b/>
          <w:bCs/>
        </w:rPr>
        <w:t xml:space="preserve">Justification:</w:t>
      </w:r>
      <w:r>
        <w:br/>
        <w:t xml:space="preserve">The brief presents all monetary values in pounds and does not mention multi-currency </w:t>
      </w:r>
      <w:r>
        <w:t xml:space="preserve">support. Restricting the system to GBP keeps the financial logic clear and consistent for a UK-style teller system. </w:t>
      </w:r>
      <w:r/>
    </w:p>
    <w:p w14:paraId="7A12660E" w14:textId="77777777">
      <w:pPr>
        <w:pBdr/>
        <w:spacing/>
        <w:ind/>
        <w:rPr/>
      </w:pPr>
      <w:r>
        <mc:AlternateContent>
          <mc:Choice Requires="wpg">
            <w:drawing>
              <wp:inline xmlns:wp="http://schemas.openxmlformats.org/drawingml/2006/wordprocessingDrawing" distT="0" distB="0" distL="0" distR="0">
                <wp:extent cx="0" cy="19050"/>
                <wp:effectExtent l="0" t="0" r="0" b="0"/>
                <wp:docPr id="6" name="_x0000_i103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5" o:spid="_x0000_s5" o:spt="1" type="#_x0000_t1" style="width:0.00pt;height:1.50pt;mso-wrap-distance-left:0.00pt;mso-wrap-distance-top:0.00pt;mso-wrap-distance-right:0.00pt;mso-wrap-distance-bottom:0.00pt;visibility:visible;" fillcolor="#A0A0A0" stroked="f"/>
            </w:pict>
          </mc:Fallback>
        </mc:AlternateContent>
      </w:r>
      <w:r/>
    </w:p>
    <w:p w14:paraId="2EE212E9" w14:textId="77777777">
      <w:pPr>
        <w:pBdr/>
        <w:spacing/>
        <w:ind/>
        <w:rPr>
          <w:b/>
          <w:bCs/>
        </w:rPr>
      </w:pPr>
      <w:r>
        <w:rPr>
          <w:b/>
          <w:bCs/>
        </w:rPr>
        <w:t xml:space="preserve">7. Opening balance rules</w:t>
      </w:r>
      <w:r>
        <w:rPr>
          <w:b/>
          <w:bCs/>
        </w:rPr>
      </w:r>
    </w:p>
    <w:p w14:paraId="31FC36CF" w14:textId="77777777">
      <w:pPr>
        <w:pBdr/>
        <w:spacing/>
        <w:ind/>
        <w:rPr/>
      </w:pPr>
      <w:r>
        <w:rPr>
          <w:b/>
          <w:bCs/>
        </w:rPr>
        <w:t xml:space="preserve">Assumption:</w:t>
      </w:r>
      <w:r>
        <w:br/>
        <w:t xml:space="preserve">Only Personal Accounts enforce the minimum opening balance of £1 stated in the brief. ISA and Business Accounts may be opened with £0 unless another rule prevents account creation.</w:t>
      </w:r>
      <w:r/>
    </w:p>
    <w:p w14:paraId="33CF6596" w14:textId="77777777">
      <w:pPr>
        <w:pBdr/>
        <w:spacing/>
        <w:ind/>
        <w:rPr/>
      </w:pPr>
      <w:r>
        <w:rPr>
          <w:b/>
          <w:bCs/>
        </w:rPr>
        <w:t xml:space="preserve">Justification:</w:t>
      </w:r>
      <w:r>
        <w:br/>
        <w:t xml:space="preserve">The brief explicitly sets a £1 minimum opening balance for Personal Accounts but does not define minimum opening balances for ISA or Business Accounts. Rather than inventing extra restrictions, the system only enforces the rules that are stated directly. </w:t>
      </w:r>
      <w:r/>
    </w:p>
    <w:p w14:paraId="367902C9" w14:textId="77777777">
      <w:pPr>
        <w:pBdr/>
        <w:spacing/>
        <w:ind/>
        <w:rPr/>
      </w:pPr>
      <w:r>
        <mc:AlternateContent>
          <mc:Choice Requires="wpg">
            <w:drawing>
              <wp:inline xmlns:wp="http://schemas.openxmlformats.org/drawingml/2006/wordprocessingDrawing" distT="0" distB="0" distL="0" distR="0">
                <wp:extent cx="0" cy="19050"/>
                <wp:effectExtent l="0" t="0" r="0" b="0"/>
                <wp:docPr id="7" name="_x0000_i103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6" o:spid="_x0000_s6" o:spt="1" type="#_x0000_t1" style="width:0.00pt;height:1.50pt;mso-wrap-distance-left:0.00pt;mso-wrap-distance-top:0.00pt;mso-wrap-distance-right:0.00pt;mso-wrap-distance-bottom:0.00pt;visibility:visible;" fillcolor="#A0A0A0" stroked="f"/>
            </w:pict>
          </mc:Fallback>
        </mc:AlternateContent>
      </w:r>
      <w:r/>
    </w:p>
    <w:p w14:paraId="5B6CA3F2" w14:textId="77777777">
      <w:pPr>
        <w:pBdr/>
        <w:spacing/>
        <w:ind/>
        <w:rPr>
          <w:b/>
          <w:bCs/>
        </w:rPr>
      </w:pPr>
      <w:r>
        <w:rPr>
          <w:b/>
          <w:bCs/>
        </w:rPr>
        <w:t xml:space="preserve">8. ISA interest calculation</w:t>
      </w:r>
      <w:r>
        <w:rPr>
          <w:b/>
          <w:bCs/>
        </w:rPr>
      </w:r>
    </w:p>
    <w:p w14:paraId="71DA6D54" w14:textId="77777777">
      <w:pPr>
        <w:pBdr/>
        <w:spacing/>
        <w:ind/>
        <w:rPr/>
      </w:pPr>
      <w:r>
        <w:rPr>
          <w:b/>
          <w:bCs/>
        </w:rPr>
        <w:t xml:space="preserve">Assumption:</w:t>
      </w:r>
      <w:r>
        <w:br/>
        <w:t xml:space="preserve">Interest for ISA accounts is calculated using the average of the monthly closing balances over the available period, rather than using a daily weighted balance. The teller triggers the calculation manually from the account menu.</w:t>
      </w:r>
      <w:r/>
    </w:p>
    <w:p w14:paraId="63A1175D" w14:textId="77777777">
      <w:pPr>
        <w:pBdr/>
        <w:spacing/>
        <w:ind/>
        <w:rPr/>
      </w:pPr>
      <w:r>
        <w:rPr>
          <w:b/>
          <w:bCs/>
        </w:rPr>
        <w:t xml:space="preserve">Justification:</w:t>
      </w:r>
      <w:r>
        <w:br/>
        <w:t xml:space="preserve">The brief allows annual interest to be calculated using the average annual balance or a simplified equiva</w:t>
      </w:r>
      <w:r>
        <w:t xml:space="preserve">lent if justified. Monthly closing balances provide a clear and testable approximation without introducing unnecessary complexity around daily balance tracking. This keeps the implementation manageable while still demonstrating the required rule handling. </w:t>
      </w:r>
      <w:r/>
    </w:p>
    <w:p w14:paraId="360A41B3" w14:textId="77777777">
      <w:pPr>
        <w:pBdr/>
        <w:spacing/>
        <w:ind/>
        <w:rPr/>
      </w:pPr>
      <w:r>
        <w:rPr>
          <w:b/>
          <w:bCs/>
        </w:rPr>
        <w:t xml:space="preserve">Calculation used:</w:t>
      </w:r>
      <w:r>
        <w:br/>
        <w:t xml:space="preserve">Annual interest = (sum of monthly closing balances ÷ number of stored months) × 0.0275</w:t>
      </w:r>
      <w:r>
        <w:br/>
        <w:t xml:space="preserve">Where fewer than 12 monthly records exist, the system uses the months available. </w:t>
      </w:r>
      <w:r/>
    </w:p>
    <w:p w14:paraId="42872D9E" w14:textId="77777777">
      <w:pPr>
        <w:pBdr/>
        <w:spacing/>
        <w:ind/>
        <w:rPr/>
      </w:pPr>
      <w:r>
        <mc:AlternateContent>
          <mc:Choice Requires="wpg">
            <w:drawing>
              <wp:inline xmlns:wp="http://schemas.openxmlformats.org/drawingml/2006/wordprocessingDrawing" distT="0" distB="0" distL="0" distR="0">
                <wp:extent cx="0" cy="19050"/>
                <wp:effectExtent l="0" t="0" r="0" b="0"/>
                <wp:docPr id="8" name="_x0000_i103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7" o:spid="_x0000_s7" o:spt="1" type="#_x0000_t1" style="width:0.00pt;height:1.50pt;mso-wrap-distance-left:0.00pt;mso-wrap-distance-top:0.00pt;mso-wrap-distance-right:0.00pt;mso-wrap-distance-bottom:0.00pt;visibility:visible;" fillcolor="#A0A0A0" stroked="f"/>
            </w:pict>
          </mc:Fallback>
        </mc:AlternateContent>
      </w:r>
      <w:r/>
    </w:p>
    <w:p w14:paraId="56EDEC13" w14:textId="77777777">
      <w:pPr>
        <w:pBdr/>
        <w:spacing/>
        <w:ind/>
        <w:rPr>
          <w:b/>
          <w:bCs/>
        </w:rPr>
      </w:pPr>
      <w:r>
        <w:rPr>
          <w:b/>
          <w:bCs/>
        </w:rPr>
        <w:t xml:space="preserve">9. ISA withdrawals</w:t>
      </w:r>
      <w:r>
        <w:rPr>
          <w:b/>
          <w:bCs/>
        </w:rPr>
      </w:r>
    </w:p>
    <w:p w14:paraId="00868167" w14:textId="77777777">
      <w:pPr>
        <w:pBdr/>
        <w:spacing/>
        <w:ind/>
        <w:rPr/>
      </w:pPr>
      <w:r>
        <w:rPr>
          <w:b/>
          <w:bCs/>
        </w:rPr>
        <w:t xml:space="preserve">Assumption:</w:t>
      </w:r>
      <w:r>
        <w:br/>
        <w:t xml:space="preserve">ISA accounts allow deposits and withdrawals </w:t>
      </w:r>
      <w:r>
        <w:t xml:space="preserve">as long as</w:t>
      </w:r>
      <w:r>
        <w:t xml:space="preserve"> sufficient funds are available. The system does not model flexible vs non-flexible ISA products, annual allowance rules, or tax-year behaviour.</w:t>
      </w:r>
      <w:r/>
    </w:p>
    <w:p w14:paraId="431F007E" w14:textId="77777777">
      <w:pPr>
        <w:pBdr/>
        <w:spacing/>
        <w:ind/>
        <w:rPr/>
      </w:pPr>
      <w:r>
        <w:rPr>
          <w:b/>
          <w:bCs/>
        </w:rPr>
        <w:t xml:space="preserve">Justification:</w:t>
      </w:r>
      <w:r>
        <w:br/>
        <w:t xml:space="preserve">The brief says the system should handle </w:t>
      </w:r>
      <w:r>
        <w:t xml:space="preserve">cases where ISA rules may prohibit certain actions, but it also allows simplification through assumptions. This project treats the ISA as a simplified savings-style product whose key enforced rules are one ISA per customer and annual interest calculation. </w:t>
      </w:r>
      <w:r/>
    </w:p>
    <w:p w14:paraId="1762C4D5" w14:textId="77777777">
      <w:pPr>
        <w:pBdr/>
        <w:spacing/>
        <w:ind/>
        <w:rPr/>
      </w:pPr>
      <w:r>
        <mc:AlternateContent>
          <mc:Choice Requires="wpg">
            <w:drawing>
              <wp:inline xmlns:wp="http://schemas.openxmlformats.org/drawingml/2006/wordprocessingDrawing" distT="0" distB="0" distL="0" distR="0">
                <wp:extent cx="0" cy="19050"/>
                <wp:effectExtent l="0" t="0" r="0" b="0"/>
                <wp:docPr id="9" name="_x0000_i103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8" o:spid="_x0000_s8" o:spt="1" type="#_x0000_t1" style="width:0.00pt;height:1.50pt;mso-wrap-distance-left:0.00pt;mso-wrap-distance-top:0.00pt;mso-wrap-distance-right:0.00pt;mso-wrap-distance-bottom:0.00pt;visibility:visible;" fillcolor="#A0A0A0" stroked="f"/>
            </w:pict>
          </mc:Fallback>
        </mc:AlternateContent>
      </w:r>
      <w:r/>
    </w:p>
    <w:p w14:paraId="4325E344" w14:textId="77777777">
      <w:pPr>
        <w:pBdr/>
        <w:spacing/>
        <w:ind/>
        <w:rPr>
          <w:b/>
          <w:bCs/>
        </w:rPr>
      </w:pPr>
      <w:r>
        <w:rPr>
          <w:b/>
          <w:bCs/>
        </w:rPr>
        <w:t xml:space="preserve">10. One ISA and one Business Account per customer</w:t>
      </w:r>
      <w:r>
        <w:rPr>
          <w:b/>
          <w:bCs/>
        </w:rPr>
      </w:r>
    </w:p>
    <w:p w14:paraId="1F8C70E9" w14:textId="77777777">
      <w:pPr>
        <w:pBdr/>
        <w:spacing/>
        <w:ind/>
        <w:rPr/>
      </w:pPr>
      <w:r>
        <w:rPr>
          <w:b/>
          <w:bCs/>
        </w:rPr>
        <w:t xml:space="preserve">Assumption:</w:t>
      </w:r>
      <w:r>
        <w:br/>
        <w:t xml:space="preserve">A customer may hold any number of Personal Accounts, but only one ISA Account and one Business Account.</w:t>
      </w:r>
      <w:r/>
    </w:p>
    <w:p w14:paraId="69D45FE0" w14:textId="77777777">
      <w:pPr>
        <w:pBdr/>
        <w:spacing/>
        <w:ind/>
        <w:rPr/>
      </w:pPr>
      <w:r>
        <w:rPr>
          <w:b/>
          <w:bCs/>
        </w:rPr>
        <w:t xml:space="preserve">Justification:</w:t>
      </w:r>
      <w:r>
        <w:br/>
        <w:t xml:space="preserve">This directly follows the brief. It is included here so the rule is explicitly documented in the assumptions and system behaviour write-up. </w:t>
      </w:r>
      <w:r/>
    </w:p>
    <w:p w14:paraId="136F0E49" w14:textId="77777777">
      <w:pPr>
        <w:pBdr/>
        <w:spacing/>
        <w:ind/>
        <w:rPr/>
      </w:pPr>
      <w:r>
        <mc:AlternateContent>
          <mc:Choice Requires="wpg">
            <w:drawing>
              <wp:inline xmlns:wp="http://schemas.openxmlformats.org/drawingml/2006/wordprocessingDrawing" distT="0" distB="0" distL="0" distR="0">
                <wp:extent cx="0" cy="19050"/>
                <wp:effectExtent l="0" t="0" r="0" b="0"/>
                <wp:docPr id="10" name="_x0000_i103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9" o:spid="_x0000_s9" o:spt="1" type="#_x0000_t1" style="width:0.00pt;height:1.50pt;mso-wrap-distance-left:0.00pt;mso-wrap-distance-top:0.00pt;mso-wrap-distance-right:0.00pt;mso-wrap-distance-bottom:0.00pt;visibility:visible;" fillcolor="#A0A0A0" stroked="f"/>
            </w:pict>
          </mc:Fallback>
        </mc:AlternateContent>
      </w:r>
      <w:r/>
    </w:p>
    <w:p w14:paraId="2683CE4D" w14:textId="77777777">
      <w:pPr>
        <w:pBdr/>
        <w:spacing/>
        <w:ind/>
        <w:rPr>
          <w:b/>
          <w:bCs/>
        </w:rPr>
      </w:pPr>
      <w:r>
        <w:rPr>
          <w:b/>
          <w:bCs/>
        </w:rPr>
        <w:t xml:space="preserve">11. Personal overdraft handling</w:t>
      </w:r>
      <w:r>
        <w:rPr>
          <w:b/>
          <w:bCs/>
        </w:rPr>
      </w:r>
    </w:p>
    <w:p w14:paraId="298E3A43" w14:textId="0931BFFA">
      <w:pPr>
        <w:pBdr/>
        <w:spacing/>
        <w:ind/>
        <w:rPr/>
      </w:pPr>
      <w:r>
        <w:rPr>
          <w:b/>
          <w:bCs/>
        </w:rPr>
        <w:t xml:space="preserve">Assumption:</w:t>
      </w:r>
      <w:r>
        <w:br/>
        <w:t xml:space="preserve">Personal Accounts are given a fixed authorised overdraft limit of </w:t>
      </w:r>
      <w:r>
        <w:rPr>
          <w:b/>
          <w:bCs/>
        </w:rPr>
        <w:t xml:space="preserve">£</w:t>
      </w:r>
      <w:r>
        <w:rPr>
          <w:b/>
          <w:bCs/>
          <w:lang w:val="en"/>
        </w:rPr>
        <w:t xml:space="preserve">1</w:t>
      </w:r>
      <w:r>
        <w:rPr>
          <w:b/>
          <w:bCs/>
        </w:rPr>
        <w:t xml:space="preserve">00</w:t>
      </w:r>
      <w:r>
        <w:t xml:space="preserve">. </w:t>
      </w:r>
      <w:r>
        <w:t xml:space="preserve">No daily overdraft interest or recurring overdraft fees are applied.</w:t>
      </w:r>
      <w:r/>
    </w:p>
    <w:p w14:paraId="505DF175" w14:textId="77777777">
      <w:pPr>
        <w:pBdr/>
        <w:spacing/>
        <w:ind/>
        <w:rPr/>
      </w:pPr>
      <w:r>
        <w:rPr>
          <w:b/>
          <w:bCs/>
        </w:rPr>
        <w:t xml:space="preserve">Justification:</w:t>
      </w:r>
      <w:r>
        <w:br/>
        <w:t xml:space="preserve">The brief says Personal Accounts must handle overdraft scenarios and calculate c</w:t>
      </w:r>
      <w:r>
        <w:t xml:space="preserve">harges where applicable, but it does not define a specific overdraft model. A fixed limit with a one-off fee is simple, easy to explain, and easy to test. It shows that overdraft logic exists without turning the project into a full retail banking product. </w:t>
      </w:r>
      <w:r/>
    </w:p>
    <w:p w14:paraId="3D58BDE1" w14:textId="77777777">
      <w:pPr>
        <w:pBdr/>
        <w:spacing/>
        <w:ind/>
        <w:rPr/>
      </w:pPr>
      <w:r>
        <mc:AlternateContent>
          <mc:Choice Requires="wpg">
            <w:drawing>
              <wp:inline xmlns:wp="http://schemas.openxmlformats.org/drawingml/2006/wordprocessingDrawing" distT="0" distB="0" distL="0" distR="0">
                <wp:extent cx="0" cy="19050"/>
                <wp:effectExtent l="0" t="0" r="0" b="0"/>
                <wp:docPr id="11" name="_x0000_i103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0" o:spid="_x0000_s10" o:spt="1" type="#_x0000_t1" style="width:0.00pt;height:1.50pt;mso-wrap-distance-left:0.00pt;mso-wrap-distance-top:0.00pt;mso-wrap-distance-right:0.00pt;mso-wrap-distance-bottom:0.00pt;visibility:visible;" fillcolor="#A0A0A0" stroked="f"/>
            </w:pict>
          </mc:Fallback>
        </mc:AlternateContent>
      </w:r>
      <w:r/>
    </w:p>
    <w:p w14:paraId="10793DBA" w14:textId="77777777">
      <w:pPr>
        <w:pBdr/>
        <w:spacing/>
        <w:ind/>
        <w:rPr>
          <w:b/>
          <w:bCs/>
        </w:rPr>
      </w:pPr>
      <w:r>
        <w:rPr>
          <w:b/>
          <w:bCs/>
        </w:rPr>
        <w:t xml:space="preserve">12. Direct Debits and Standing Orders</w:t>
      </w:r>
      <w:r>
        <w:rPr>
          <w:b/>
          <w:bCs/>
        </w:rPr>
      </w:r>
    </w:p>
    <w:p w14:paraId="1641CC02" w14:textId="77777777">
      <w:pPr>
        <w:pBdr/>
        <w:spacing/>
        <w:ind/>
        <w:rPr/>
      </w:pPr>
      <w:r>
        <w:rPr>
          <w:b/>
          <w:bCs/>
        </w:rPr>
        <w:t xml:space="preserve">Assumption:</w:t>
      </w:r>
      <w:r>
        <w:br/>
        <w:t xml:space="preserve">Dire</w:t>
      </w:r>
      <w:r>
        <w:t xml:space="preserve">ct Debits and Standing Orders can be created and viewed for Personal Accounts, but they are not processed automatically by background scheduling. Instead, they are stored by the system and can be processed manually by the teller for demonstration purposes.</w:t>
      </w:r>
      <w:r/>
    </w:p>
    <w:p w14:paraId="753C2E7B" w14:textId="77777777">
      <w:pPr>
        <w:pBdr/>
        <w:spacing/>
        <w:ind/>
        <w:rPr/>
      </w:pPr>
      <w:r>
        <w:rPr>
          <w:b/>
          <w:bCs/>
        </w:rPr>
        <w:t xml:space="preserve">Justification:</w:t>
      </w:r>
      <w:r>
        <w:br/>
        <w:t xml:space="preserve">The brief requires tellers to be able to set up and view Direct Debits and Standing Orders,</w:t>
      </w:r>
      <w:r>
        <w:t xml:space="preserve"> but it does not require a timed scheduling engine. Manual processing keeps the CLI simpler while still demonstrating that the data can be stored, viewed, and used in transactions. ISA Accounts do not support these features unless extended in future work. </w:t>
      </w:r>
      <w:r/>
    </w:p>
    <w:p w14:paraId="20D02902" w14:textId="77777777">
      <w:pPr>
        <w:pBdr/>
        <w:spacing/>
        <w:ind/>
        <w:rPr/>
      </w:pPr>
      <w:r>
        <mc:AlternateContent>
          <mc:Choice Requires="wpg">
            <w:drawing>
              <wp:inline xmlns:wp="http://schemas.openxmlformats.org/drawingml/2006/wordprocessingDrawing" distT="0" distB="0" distL="0" distR="0">
                <wp:extent cx="0" cy="19050"/>
                <wp:effectExtent l="0" t="0" r="0" b="0"/>
                <wp:docPr id="12" name="_x0000_i103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1" o:spid="_x0000_s11" o:spt="1" type="#_x0000_t1" style="width:0.00pt;height:1.50pt;mso-wrap-distance-left:0.00pt;mso-wrap-distance-top:0.00pt;mso-wrap-distance-right:0.00pt;mso-wrap-distance-bottom:0.00pt;visibility:visible;" fillcolor="#A0A0A0" stroked="f"/>
            </w:pict>
          </mc:Fallback>
        </mc:AlternateContent>
      </w:r>
      <w:r/>
    </w:p>
    <w:p w14:paraId="6CC2032C" w14:textId="77777777">
      <w:pPr>
        <w:pBdr/>
        <w:spacing/>
        <w:ind/>
        <w:rPr>
          <w:b/>
          <w:bCs/>
        </w:rPr>
      </w:pPr>
      <w:r>
        <w:rPr>
          <w:b/>
          <w:bCs/>
        </w:rPr>
        <w:t xml:space="preserve">13. Business type verification</w:t>
      </w:r>
      <w:r>
        <w:rPr>
          <w:b/>
          <w:bCs/>
        </w:rPr>
      </w:r>
    </w:p>
    <w:p w14:paraId="6A0099D4" w14:textId="77777777">
      <w:pPr>
        <w:pBdr/>
        <w:spacing/>
        <w:ind/>
        <w:rPr/>
      </w:pPr>
      <w:r>
        <w:rPr>
          <w:b/>
          <w:bCs/>
        </w:rPr>
        <w:t xml:space="preserve">Assumption:</w:t>
      </w:r>
      <w:r>
        <w:br/>
        <w:t xml:space="preserve">Business account eligibility is checked using a predefined list of accepted and excluded business types entered by the teller. The system records the declared business type but does not verify it against any external register.</w:t>
      </w:r>
      <w:r/>
    </w:p>
    <w:p w14:paraId="341A5B1E" w14:textId="77777777">
      <w:pPr>
        <w:pBdr/>
        <w:spacing/>
        <w:ind/>
        <w:rPr/>
      </w:pPr>
      <w:r>
        <w:rPr>
          <w:b/>
          <w:bCs/>
        </w:rPr>
        <w:t xml:space="preserve">Justification:</w:t>
      </w:r>
      <w:r>
        <w:br/>
        <w:t xml:space="preserve">The brief requires verification of an eligible busine</w:t>
      </w:r>
      <w:r>
        <w:t xml:space="preserve">ss type and the rejection of excluded types such as Enterprise, PLC, Charity, and Public Sector. Since this is a coursework system, verification is treated as rule-based validation inside the application rather than external business registry integration. </w:t>
      </w:r>
      <w:r/>
    </w:p>
    <w:p w14:paraId="72266676" w14:textId="77777777">
      <w:pPr>
        <w:pBdr/>
        <w:spacing/>
        <w:ind/>
        <w:rPr/>
      </w:pPr>
      <w:r>
        <mc:AlternateContent>
          <mc:Choice Requires="wpg">
            <w:drawing>
              <wp:inline xmlns:wp="http://schemas.openxmlformats.org/drawingml/2006/wordprocessingDrawing" distT="0" distB="0" distL="0" distR="0">
                <wp:extent cx="0" cy="19050"/>
                <wp:effectExtent l="0" t="0" r="0" b="0"/>
                <wp:docPr id="13" name="_x0000_i103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2" o:spid="_x0000_s12" o:spt="1" type="#_x0000_t1" style="width:0.00pt;height:1.50pt;mso-wrap-distance-left:0.00pt;mso-wrap-distance-top:0.00pt;mso-wrap-distance-right:0.00pt;mso-wrap-distance-bottom:0.00pt;visibility:visible;" fillcolor="#A0A0A0" stroked="f"/>
            </w:pict>
          </mc:Fallback>
        </mc:AlternateContent>
      </w:r>
      <w:r/>
    </w:p>
    <w:p w14:paraId="4635B188" w14:textId="77777777">
      <w:pPr>
        <w:pBdr/>
        <w:spacing/>
        <w:ind/>
        <w:rPr>
          <w:b/>
          <w:bCs/>
        </w:rPr>
      </w:pPr>
      <w:r>
        <w:rPr>
          <w:b/>
          <w:bCs/>
        </w:rPr>
        <w:t xml:space="preserve">14. Business account annual fee</w:t>
      </w:r>
      <w:r>
        <w:rPr>
          <w:b/>
          <w:bCs/>
        </w:rPr>
      </w:r>
    </w:p>
    <w:p w14:paraId="14E88134" w14:textId="77777777">
      <w:pPr>
        <w:pBdr/>
        <w:spacing/>
        <w:ind/>
        <w:rPr/>
      </w:pPr>
      <w:r>
        <w:rPr>
          <w:b/>
          <w:bCs/>
        </w:rPr>
        <w:t xml:space="preserve">Assumption:</w:t>
      </w:r>
      <w:r>
        <w:br/>
        <w:t xml:space="preserve">The £120 annual fee is applied automati</w:t>
      </w:r>
      <w:r>
        <w:t xml:space="preserve">cally when the Business Account is created. After that, the system checks whether another fee is due whenever the account is accessed for account actions or loaded into the session. If 12 months have passed since the last fee date, the fee is applied once.</w:t>
      </w:r>
      <w:r/>
    </w:p>
    <w:p w14:paraId="36B176B7" w14:textId="77777777">
      <w:pPr>
        <w:pBdr/>
        <w:spacing/>
        <w:ind/>
        <w:rPr/>
      </w:pPr>
      <w:r>
        <w:rPr>
          <w:b/>
          <w:bCs/>
        </w:rPr>
        <w:t xml:space="preserve">Justification:</w:t>
      </w:r>
      <w:r>
        <w:br/>
        <w:t xml:space="preserve">The brief requires the annual f</w:t>
      </w:r>
      <w:r>
        <w:t xml:space="preserve">ee to be applied automatically but does not define exactly when the charge must run. This approach avoids background scheduling while still making the fee automatic and traceable. It is more defensible than attaching the fee to an unrelated teller action. </w:t>
      </w:r>
      <w:r/>
    </w:p>
    <w:p w14:paraId="5124279E" w14:textId="77777777">
      <w:pPr>
        <w:pBdr/>
        <w:spacing/>
        <w:ind/>
        <w:rPr/>
      </w:pPr>
      <w:r>
        <mc:AlternateContent>
          <mc:Choice Requires="wpg">
            <w:drawing>
              <wp:inline xmlns:wp="http://schemas.openxmlformats.org/drawingml/2006/wordprocessingDrawing" distT="0" distB="0" distL="0" distR="0">
                <wp:extent cx="0" cy="19050"/>
                <wp:effectExtent l="0" t="0" r="0" b="0"/>
                <wp:docPr id="14" name="_x0000_i103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3" o:spid="_x0000_s13" o:spt="1" type="#_x0000_t1" style="width:0.00pt;height:1.50pt;mso-wrap-distance-left:0.00pt;mso-wrap-distance-top:0.00pt;mso-wrap-distance-right:0.00pt;mso-wrap-distance-bottom:0.00pt;visibility:visible;" fillcolor="#A0A0A0" stroked="f"/>
            </w:pict>
          </mc:Fallback>
        </mc:AlternateContent>
      </w:r>
      <w:r/>
    </w:p>
    <w:p w14:paraId="7310A9C5" w14:textId="77777777">
      <w:pPr>
        <w:pBdr/>
        <w:spacing/>
        <w:ind/>
        <w:rPr>
          <w:b/>
          <w:bCs/>
        </w:rPr>
      </w:pPr>
      <w:r>
        <w:rPr>
          <w:b/>
          <w:bCs/>
        </w:rPr>
        <w:t xml:space="preserve">15. Business account optional features</w:t>
      </w:r>
      <w:r>
        <w:rPr>
          <w:b/>
          <w:bCs/>
        </w:rPr>
      </w:r>
    </w:p>
    <w:p w14:paraId="614DCE72" w14:textId="77777777">
      <w:pPr>
        <w:pBdr/>
        <w:spacing/>
        <w:ind/>
        <w:rPr/>
      </w:pPr>
      <w:r>
        <w:rPr>
          <w:b/>
          <w:bCs/>
        </w:rPr>
        <w:t xml:space="preserve">Assumption:</w:t>
      </w:r>
      <w:r>
        <w:br/>
        <w:t xml:space="preserve">Cheque book status, overdraft facility, international trading status, and loan status are stored as simple properties on the Business Account. These features are enabled or updated by teller actions rather than being managed by separate subsystems.</w:t>
      </w:r>
      <w:r/>
    </w:p>
    <w:p w14:paraId="00F5CA34" w14:textId="77777777">
      <w:pPr>
        <w:pBdr/>
        <w:spacing/>
        <w:ind/>
        <w:rPr/>
      </w:pPr>
      <w:r>
        <w:rPr>
          <w:b/>
          <w:bCs/>
        </w:rPr>
        <w:t xml:space="preserve">Justification:</w:t>
      </w:r>
      <w:r>
        <w:br/>
        <w:t xml:space="preserve">The brief d</w:t>
      </w:r>
      <w:r>
        <w:t xml:space="preserve">escribes these as optional features and asks for simplified handling, especially for international trading and loans. Representing them as account-level properties keeps the design clean and still demonstrates rule tracking and account-specific behaviour. </w:t>
      </w:r>
      <w:r/>
    </w:p>
    <w:p w14:paraId="705AD7BF" w14:textId="77777777">
      <w:pPr>
        <w:pBdr/>
        <w:spacing/>
        <w:ind/>
        <w:rPr/>
      </w:pPr>
      <w:r>
        <mc:AlternateContent>
          <mc:Choice Requires="wpg">
            <w:drawing>
              <wp:inline xmlns:wp="http://schemas.openxmlformats.org/drawingml/2006/wordprocessingDrawing" distT="0" distB="0" distL="0" distR="0">
                <wp:extent cx="0" cy="19050"/>
                <wp:effectExtent l="0" t="0" r="0" b="0"/>
                <wp:docPr id="15" name="_x0000_i103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4" o:spid="_x0000_s14" o:spt="1" type="#_x0000_t1" style="width:0.00pt;height:1.50pt;mso-wrap-distance-left:0.00pt;mso-wrap-distance-top:0.00pt;mso-wrap-distance-right:0.00pt;mso-wrap-distance-bottom:0.00pt;visibility:visible;" fillcolor="#A0A0A0" stroked="f"/>
            </w:pict>
          </mc:Fallback>
        </mc:AlternateContent>
      </w:r>
      <w:r/>
    </w:p>
    <w:p w14:paraId="6813B6B1" w14:textId="77777777">
      <w:pPr>
        <w:pBdr/>
        <w:spacing/>
        <w:ind/>
        <w:rPr>
          <w:b/>
          <w:bCs/>
        </w:rPr>
      </w:pPr>
      <w:r>
        <w:rPr>
          <w:b/>
          <w:bCs/>
        </w:rPr>
        <w:t xml:space="preserve">16. Business loan handling</w:t>
      </w:r>
      <w:r>
        <w:rPr>
          <w:b/>
          <w:bCs/>
        </w:rPr>
      </w:r>
    </w:p>
    <w:p w14:paraId="575496DD" w14:textId="77777777">
      <w:pPr>
        <w:pBdr/>
        <w:spacing/>
        <w:ind/>
        <w:rPr/>
      </w:pPr>
      <w:r>
        <w:rPr>
          <w:b/>
          <w:bCs/>
        </w:rPr>
        <w:t xml:space="preserve">Assumption:</w:t>
      </w:r>
      <w:r>
        <w:br/>
        <w:t xml:space="preserve">Loan requests are handled as a basic simulation. A request i</w:t>
      </w:r>
      <w:r>
        <w:t xml:space="preserve">s approved only if the customer has held the Business Account for more than 6 months and the requested amount is £10,000 or less. The system records the request result, but it does not generate a repayment schedule, interest rate, or separate loan account.</w:t>
      </w:r>
      <w:r/>
    </w:p>
    <w:p w14:paraId="632C9212" w14:textId="77777777">
      <w:pPr>
        <w:pBdr/>
        <w:spacing/>
        <w:ind/>
        <w:rPr/>
      </w:pPr>
      <w:r>
        <w:rPr>
          <w:b/>
          <w:bCs/>
        </w:rPr>
        <w:t xml:space="preserve">Justification:</w:t>
      </w:r>
      <w:r>
        <w:br/>
        <w:t xml:space="preserve">The brief asks for loan request handling in a basic simulated form. This assumption gives the teller a clear approve/reject outcome without forcing the project to include a full loan management module. </w:t>
      </w:r>
      <w:r/>
    </w:p>
    <w:p w14:paraId="3FECAB0F" w14:textId="77777777">
      <w:pPr>
        <w:pBdr/>
        <w:spacing/>
        <w:ind/>
        <w:rPr/>
      </w:pPr>
      <w:r>
        <mc:AlternateContent>
          <mc:Choice Requires="wpg">
            <w:drawing>
              <wp:inline xmlns:wp="http://schemas.openxmlformats.org/drawingml/2006/wordprocessingDrawing" distT="0" distB="0" distL="0" distR="0">
                <wp:extent cx="0" cy="19050"/>
                <wp:effectExtent l="0" t="0" r="0" b="0"/>
                <wp:docPr id="16" name="_x0000_i104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5" o:spid="_x0000_s15" o:spt="1" type="#_x0000_t1" style="width:0.00pt;height:1.50pt;mso-wrap-distance-left:0.00pt;mso-wrap-distance-top:0.00pt;mso-wrap-distance-right:0.00pt;mso-wrap-distance-bottom:0.00pt;visibility:visible;" fillcolor="#A0A0A0" stroked="f"/>
            </w:pict>
          </mc:Fallback>
        </mc:AlternateContent>
      </w:r>
      <w:r/>
    </w:p>
    <w:p w14:paraId="756B3537" w14:textId="77777777">
      <w:pPr>
        <w:pBdr/>
        <w:spacing/>
        <w:ind/>
        <w:rPr>
          <w:b/>
          <w:bCs/>
        </w:rPr>
      </w:pPr>
      <w:r>
        <w:rPr>
          <w:b/>
          <w:bCs/>
        </w:rPr>
        <w:t xml:space="preserve">17. International trading functionality</w:t>
      </w:r>
      <w:r>
        <w:rPr>
          <w:b/>
          <w:bCs/>
        </w:rPr>
      </w:r>
    </w:p>
    <w:p w14:paraId="2CE565DC" w14:textId="77777777">
      <w:pPr>
        <w:pBdr/>
        <w:spacing/>
        <w:ind/>
        <w:rPr/>
      </w:pPr>
      <w:r>
        <w:rPr>
          <w:b/>
          <w:bCs/>
        </w:rPr>
        <w:t xml:space="preserve">Assumption:</w:t>
      </w:r>
      <w:r>
        <w:br/>
        <w:t xml:space="preserve">International trading is represented by a simple</w:t>
      </w:r>
      <w:r>
        <w:t xml:space="preserve"> enabled/disabled flag on the Business Account. When enabled, the teller can record international transactions in the account history, but the system does not perform currency conversion, exchange-rate calculations, or overseas payment network integration.</w:t>
      </w:r>
      <w:r/>
    </w:p>
    <w:p w14:paraId="77816B88" w14:textId="77777777">
      <w:pPr>
        <w:pBdr/>
        <w:spacing/>
        <w:ind/>
        <w:rPr/>
      </w:pPr>
      <w:r>
        <w:rPr>
          <w:b/>
          <w:bCs/>
        </w:rPr>
        <w:t xml:space="preserve">Justification:</w:t>
      </w:r>
      <w:r>
        <w:br/>
        <w:t xml:space="preserve">The brief asks for internationa</w:t>
      </w:r>
      <w:r>
        <w:t xml:space="preserve">l trading functionality in simplified form. Tracking the feature and logging relevant transactions is enough to demonstrate that the account supports international activity without adding features far beyond the scope of a console-based coursework system. </w:t>
      </w:r>
      <w:r/>
    </w:p>
    <w:p w14:paraId="3B072C9A" w14:textId="77777777">
      <w:pPr>
        <w:pBdr/>
        <w:spacing/>
        <w:ind/>
        <w:rPr/>
      </w:pPr>
      <w:r>
        <mc:AlternateContent>
          <mc:Choice Requires="wpg">
            <w:drawing>
              <wp:inline xmlns:wp="http://schemas.openxmlformats.org/drawingml/2006/wordprocessingDrawing" distT="0" distB="0" distL="0" distR="0">
                <wp:extent cx="0" cy="19050"/>
                <wp:effectExtent l="0" t="0" r="0" b="0"/>
                <wp:docPr id="17" name="_x0000_i104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6" o:spid="_x0000_s16" o:spt="1" type="#_x0000_t1" style="width:0.00pt;height:1.50pt;mso-wrap-distance-left:0.00pt;mso-wrap-distance-top:0.00pt;mso-wrap-distance-right:0.00pt;mso-wrap-distance-bottom:0.00pt;visibility:visible;" fillcolor="#A0A0A0" stroked="f"/>
            </w:pict>
          </mc:Fallback>
        </mc:AlternateContent>
      </w:r>
      <w:r/>
    </w:p>
    <w:p w14:paraId="1D46F4E0" w14:textId="77777777">
      <w:pPr>
        <w:pBdr/>
        <w:spacing/>
        <w:ind/>
        <w:rPr>
          <w:b/>
          <w:bCs/>
        </w:rPr>
      </w:pPr>
      <w:r>
        <w:rPr>
          <w:b/>
          <w:bCs/>
        </w:rPr>
        <w:t xml:space="preserve">18. Transfers</w:t>
      </w:r>
      <w:r>
        <w:rPr>
          <w:b/>
          <w:bCs/>
        </w:rPr>
      </w:r>
    </w:p>
    <w:p w14:paraId="462D028D" w14:textId="77777777">
      <w:pPr>
        <w:pBdr/>
        <w:spacing/>
        <w:ind/>
        <w:rPr/>
      </w:pPr>
      <w:r>
        <w:rPr>
          <w:b/>
          <w:bCs/>
        </w:rPr>
        <w:t xml:space="preserve">Assumption:</w:t>
      </w:r>
      <w:r>
        <w:br/>
        <w:t xml:space="preserve">Fund transfers are supported only between accounts stored within the Acme Bank system. External transfers to accounts outside the application are out of scope.</w:t>
      </w:r>
      <w:r/>
    </w:p>
    <w:p w14:paraId="47C7B882" w14:textId="77777777">
      <w:pPr>
        <w:pBdr/>
        <w:spacing/>
        <w:ind/>
        <w:rPr/>
      </w:pPr>
      <w:r>
        <w:rPr>
          <w:b/>
          <w:bCs/>
        </w:rPr>
        <w:t xml:space="preserve">Justification:</w:t>
      </w:r>
      <w:r>
        <w:br/>
        <w:t xml:space="preserve">The brief requires fund transfers but does not mention external banking integration. </w:t>
      </w:r>
      <w:r>
        <w:t xml:space="preserve">Restricting transfers to in-system accounts allows the feature to be implemented clearly and tested reliably without introducing outside payment networks or settlement rules. </w:t>
      </w:r>
      <w:r/>
    </w:p>
    <w:p w14:paraId="53FE3289" w14:textId="77777777">
      <w:pPr>
        <w:pBdr/>
        <w:spacing/>
        <w:ind/>
        <w:rPr/>
      </w:pPr>
      <w:r>
        <mc:AlternateContent>
          <mc:Choice Requires="wpg">
            <w:drawing>
              <wp:inline xmlns:wp="http://schemas.openxmlformats.org/drawingml/2006/wordprocessingDrawing" distT="0" distB="0" distL="0" distR="0">
                <wp:extent cx="0" cy="19050"/>
                <wp:effectExtent l="0" t="0" r="0" b="0"/>
                <wp:docPr id="18" name="_x0000_i104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7" o:spid="_x0000_s17" o:spt="1" type="#_x0000_t1" style="width:0.00pt;height:1.50pt;mso-wrap-distance-left:0.00pt;mso-wrap-distance-top:0.00pt;mso-wrap-distance-right:0.00pt;mso-wrap-distance-bottom:0.00pt;visibility:visible;" fillcolor="#A0A0A0" stroked="f"/>
            </w:pict>
          </mc:Fallback>
        </mc:AlternateContent>
      </w:r>
      <w:r/>
    </w:p>
    <w:p w14:paraId="59E58D68" w14:textId="77777777">
      <w:pPr>
        <w:pBdr/>
        <w:spacing/>
        <w:ind/>
        <w:rPr>
          <w:b/>
          <w:bCs/>
        </w:rPr>
      </w:pPr>
      <w:r>
        <w:rPr>
          <w:b/>
          <w:bCs/>
        </w:rPr>
        <w:t xml:space="preserve">19. Transaction history</w:t>
      </w:r>
      <w:r>
        <w:rPr>
          <w:b/>
          <w:bCs/>
        </w:rPr>
      </w:r>
    </w:p>
    <w:p w14:paraId="566EAE3D" w14:textId="77777777">
      <w:pPr>
        <w:pBdr/>
        <w:spacing/>
        <w:ind/>
        <w:rPr/>
      </w:pPr>
      <w:r>
        <w:rPr>
          <w:b/>
          <w:bCs/>
        </w:rPr>
        <w:t xml:space="preserve">Assumption:</w:t>
      </w:r>
      <w:r>
        <w:br/>
        <w:t xml:space="preserve">The system stores the full transaction history for each account within the normal scale of the coursework project. No separate archive, pagination, or pruning mechanism is implemented.</w:t>
      </w:r>
      <w:r/>
    </w:p>
    <w:p w14:paraId="6F1F43BB" w14:textId="77777777">
      <w:pPr>
        <w:pBdr/>
        <w:spacing/>
        <w:ind/>
        <w:rPr/>
      </w:pPr>
      <w:r>
        <w:rPr>
          <w:b/>
          <w:bCs/>
        </w:rPr>
        <w:t xml:space="preserve">Justification:</w:t>
      </w:r>
      <w:r>
        <w:br/>
        <w:t xml:space="preserve">The brief says fu</w:t>
      </w:r>
      <w:r>
        <w:t xml:space="preserve">ll transaction history is optional but recommended. Since this is a small-scale educational system rather than a live production bank, storing the complete history is reasonable and avoids introducing an unnecessary limit that could weaken the submission. </w:t>
      </w:r>
      <w:r/>
    </w:p>
    <w:p w14:paraId="1D765A84" w14:textId="77777777">
      <w:pPr>
        <w:pBdr/>
        <w:spacing/>
        <w:ind/>
        <w:rPr/>
      </w:pPr>
      <w:r>
        <mc:AlternateContent>
          <mc:Choice Requires="wpg">
            <w:drawing>
              <wp:inline xmlns:wp="http://schemas.openxmlformats.org/drawingml/2006/wordprocessingDrawing" distT="0" distB="0" distL="0" distR="0">
                <wp:extent cx="0" cy="19050"/>
                <wp:effectExtent l="0" t="0" r="0" b="0"/>
                <wp:docPr id="19" name="_x0000_i104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8" o:spid="_x0000_s18" o:spt="1" type="#_x0000_t1" style="width:0.00pt;height:1.50pt;mso-wrap-distance-left:0.00pt;mso-wrap-distance-top:0.00pt;mso-wrap-distance-right:0.00pt;mso-wrap-distance-bottom:0.00pt;visibility:visible;" fillcolor="#A0A0A0" stroked="f"/>
            </w:pict>
          </mc:Fallback>
        </mc:AlternateContent>
      </w:r>
      <w:r/>
    </w:p>
    <w:p w14:paraId="607B3DE9" w14:textId="77777777">
      <w:pPr>
        <w:pBdr/>
        <w:spacing/>
        <w:ind/>
        <w:rPr>
          <w:b/>
          <w:bCs/>
        </w:rPr>
      </w:pPr>
      <w:r>
        <w:rPr>
          <w:b/>
          <w:bCs/>
        </w:rPr>
        <w:t xml:space="preserve">20. Data persistence</w:t>
      </w:r>
      <w:r>
        <w:rPr>
          <w:b/>
          <w:bCs/>
        </w:rPr>
      </w:r>
    </w:p>
    <w:p w14:paraId="73030A2E" w14:textId="77777777">
      <w:pPr>
        <w:pBdr/>
        <w:spacing/>
        <w:ind/>
        <w:rPr/>
      </w:pPr>
      <w:r>
        <w:rPr>
          <w:b/>
          <w:bCs/>
        </w:rPr>
        <w:t xml:space="preserve">Assumption:</w:t>
      </w:r>
      <w:r>
        <w:br/>
        <w:t xml:space="preserve">System data is stored in JSON files. This includes customers, accounts, transactions, account settings, and relevant dates such as account creation dates and fee dates.</w:t>
      </w:r>
      <w:r/>
    </w:p>
    <w:p w14:paraId="56AA6E30" w14:textId="77777777">
      <w:pPr>
        <w:pBdr/>
        <w:spacing/>
        <w:ind/>
        <w:rPr/>
      </w:pPr>
      <w:r>
        <w:rPr>
          <w:b/>
          <w:bCs/>
        </w:rPr>
        <w:t xml:space="preserve">Justification:</w:t>
      </w:r>
      <w:r>
        <w:br/>
        <w:t xml:space="preserve">The brief accepts JSON, CSV, or serialised objects. JSON is readable, easy to debug during development, and suitable for persisting structured banking data across program runs. No database is used because the brief does not require one. </w:t>
      </w:r>
      <w:r/>
    </w:p>
    <w:p w14:paraId="6351FB6E" w14:textId="77777777">
      <w:pPr>
        <w:pBdr/>
        <w:spacing/>
        <w:ind/>
        <w:rPr/>
      </w:pPr>
      <w:r>
        <mc:AlternateContent>
          <mc:Choice Requires="wpg">
            <w:drawing>
              <wp:inline xmlns:wp="http://schemas.openxmlformats.org/drawingml/2006/wordprocessingDrawing" distT="0" distB="0" distL="0" distR="0">
                <wp:extent cx="0" cy="19050"/>
                <wp:effectExtent l="0" t="0" r="0" b="0"/>
                <wp:docPr id="20" name="_x0000_i104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9" o:spid="_x0000_s19" o:spt="1" type="#_x0000_t1" style="width:0.00pt;height:1.50pt;mso-wrap-distance-left:0.00pt;mso-wrap-distance-top:0.00pt;mso-wrap-distance-right:0.00pt;mso-wrap-distance-bottom:0.00pt;visibility:visible;" fillcolor="#A0A0A0" stroked="f"/>
            </w:pict>
          </mc:Fallback>
        </mc:AlternateContent>
      </w:r>
      <w:r/>
    </w:p>
    <w:p w14:paraId="5B279C8D" w14:textId="77777777">
      <w:pPr>
        <w:pBdr/>
        <w:spacing/>
        <w:ind/>
        <w:rPr>
          <w:b/>
          <w:bCs/>
        </w:rPr>
      </w:pPr>
      <w:r>
        <w:rPr>
          <w:b/>
          <w:bCs/>
        </w:rPr>
        <w:t xml:space="preserve">21. Logging and audit trail</w:t>
      </w:r>
      <w:r>
        <w:rPr>
          <w:b/>
          <w:bCs/>
        </w:rPr>
      </w:r>
    </w:p>
    <w:p w14:paraId="19ADB527" w14:textId="77777777">
      <w:pPr>
        <w:pBdr/>
        <w:spacing/>
        <w:ind/>
        <w:rPr/>
      </w:pPr>
      <w:r>
        <w:rPr>
          <w:b/>
          <w:bCs/>
        </w:rPr>
        <w:t xml:space="preserve">Assumption:</w:t>
      </w:r>
      <w:r>
        <w:br/>
        <w:t xml:space="preserve">The system l</w:t>
      </w:r>
      <w:r>
        <w:t xml:space="preserve">ogs account creation, successful and failed customer authentication, deposits, withdrawals, transfers, fee applications, cheque book requests, loan decisions, and system warnings or errors. Routine menu navigation and ordinary balance views are not logged.</w:t>
      </w:r>
      <w:r/>
    </w:p>
    <w:p w14:paraId="380B4A2C" w14:textId="77777777">
      <w:pPr>
        <w:pBdr/>
        <w:spacing/>
        <w:ind/>
        <w:rPr/>
      </w:pPr>
      <w:r>
        <w:rPr>
          <w:b/>
          <w:bCs/>
        </w:rPr>
        <w:t xml:space="preserve">Justification:</w:t>
      </w:r>
      <w:r>
        <w:br/>
        <w:t xml:space="preserve">The brief requires timestamped logs that capture key teller actions, transactions, account events, and warnings. Logging core financial and account events gives a meaningful audit trail without cluttering the log file with every minor UI step. </w:t>
      </w:r>
      <w:r/>
    </w:p>
    <w:p w14:paraId="24294BE2" w14:textId="77777777">
      <w:pPr>
        <w:pBdr/>
        <w:spacing/>
        <w:ind/>
        <w:rPr/>
      </w:pPr>
      <w:r>
        <mc:AlternateContent>
          <mc:Choice Requires="wpg">
            <w:drawing>
              <wp:inline xmlns:wp="http://schemas.openxmlformats.org/drawingml/2006/wordprocessingDrawing" distT="0" distB="0" distL="0" distR="0">
                <wp:extent cx="0" cy="19050"/>
                <wp:effectExtent l="0" t="0" r="0" b="0"/>
                <wp:docPr id="21" name="_x0000_i104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0" o:spid="_x0000_s20" o:spt="1" type="#_x0000_t1" style="width:0.00pt;height:1.50pt;mso-wrap-distance-left:0.00pt;mso-wrap-distance-top:0.00pt;mso-wrap-distance-right:0.00pt;mso-wrap-distance-bottom:0.00pt;visibility:visible;" fillcolor="#A0A0A0" stroked="f"/>
            </w:pict>
          </mc:Fallback>
        </mc:AlternateContent>
      </w:r>
      <w:r/>
    </w:p>
    <w:p w14:paraId="5F50E508" w14:textId="77777777">
      <w:pPr>
        <w:pBdr/>
        <w:spacing/>
        <w:ind/>
        <w:rPr>
          <w:b/>
          <w:bCs/>
        </w:rPr>
      </w:pPr>
      <w:r>
        <w:rPr>
          <w:b/>
          <w:bCs/>
        </w:rPr>
        <w:t xml:space="preserve">22. Help system</w:t>
      </w:r>
      <w:r>
        <w:rPr>
          <w:b/>
          <w:bCs/>
        </w:rPr>
      </w:r>
    </w:p>
    <w:p w14:paraId="3D6F4C22" w14:textId="77777777">
      <w:pPr>
        <w:pBdr/>
        <w:spacing/>
        <w:ind/>
        <w:rPr/>
      </w:pPr>
      <w:r>
        <w:rPr>
          <w:b/>
          <w:bCs/>
        </w:rPr>
        <w:t xml:space="preserve">Assumption:</w:t>
      </w:r>
      <w:r>
        <w:br/>
        <w:t xml:space="preserve">The help system is text-based and context-sensitive. It explains the current menu options and any relevant rules linked to the account type or action being performed.</w:t>
      </w:r>
      <w:r/>
    </w:p>
    <w:p w14:paraId="71C8813A" w14:textId="77777777">
      <w:pPr>
        <w:pBdr/>
        <w:spacing/>
        <w:ind/>
        <w:rPr/>
      </w:pPr>
      <w:r>
        <w:rPr>
          <w:b/>
          <w:bCs/>
        </w:rPr>
        <w:t xml:space="preserve">Justification:</w:t>
      </w:r>
      <w:r>
        <w:br/>
        <w:t xml:space="preserve">The brief requires help to be accessible from any point in the application and relevant to the current action or menu. For a console-based system, text help is enough to meet this requirement clearly without overcomplicating the interface. </w:t>
      </w:r>
      <w:r/>
    </w:p>
    <w:p w14:paraId="341275D9" w14:textId="77777777">
      <w:pPr>
        <w:pBdr/>
        <w:spacing/>
        <w:ind/>
        <w:rPr/>
      </w:pPr>
      <w:r>
        <mc:AlternateContent>
          <mc:Choice Requires="wpg">
            <w:drawing>
              <wp:inline xmlns:wp="http://schemas.openxmlformats.org/drawingml/2006/wordprocessingDrawing" distT="0" distB="0" distL="0" distR="0">
                <wp:extent cx="0" cy="19050"/>
                <wp:effectExtent l="0" t="0" r="0" b="0"/>
                <wp:docPr id="22" name="_x0000_i104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1" o:spid="_x0000_s21" o:spt="1" type="#_x0000_t1" style="width:0.00pt;height:1.50pt;mso-wrap-distance-left:0.00pt;mso-wrap-distance-top:0.00pt;mso-wrap-distance-right:0.00pt;mso-wrap-distance-bottom:0.00pt;visibility:visible;" fillcolor="#A0A0A0" stroked="f"/>
            </w:pict>
          </mc:Fallback>
        </mc:AlternateContent>
      </w:r>
      <w:r/>
    </w:p>
    <w:p w14:paraId="433FCF56" w14:textId="77777777">
      <w:pPr>
        <w:pBdr/>
        <w:spacing/>
        <w:ind/>
        <w:rPr>
          <w:b/>
          <w:bCs/>
        </w:rPr>
      </w:pPr>
      <w:r>
        <w:rPr>
          <w:b/>
          <w:bCs/>
        </w:rPr>
        <w:t xml:space="preserve">23. Error handling and invalid input</w:t>
      </w:r>
      <w:r>
        <w:rPr>
          <w:b/>
          <w:bCs/>
        </w:rPr>
      </w:r>
    </w:p>
    <w:p w14:paraId="0201F75A" w14:textId="77777777">
      <w:pPr>
        <w:pBdr/>
        <w:spacing/>
        <w:ind/>
        <w:rPr/>
      </w:pPr>
      <w:r>
        <w:rPr>
          <w:b/>
          <w:bCs/>
        </w:rPr>
        <w:t xml:space="preserve">Assumption:</w:t>
      </w:r>
      <w:r>
        <w:br/>
        <w:t xml:space="preserve">Invalid input does not terminate the program. Where possible, the teller is shown an error message and returned to the same menu or prompted to try again.</w:t>
      </w:r>
      <w:r/>
    </w:p>
    <w:p w14:paraId="207AFAC2" w14:textId="77777777">
      <w:pPr>
        <w:pBdr/>
        <w:spacing/>
        <w:ind/>
        <w:rPr/>
      </w:pPr>
      <w:r>
        <w:rPr>
          <w:b/>
          <w:bCs/>
        </w:rPr>
        <w:t xml:space="preserve">Justification:</w:t>
      </w:r>
      <w:r>
        <w:br/>
        <w:t xml:space="preserve">The brief makes it clear that the system should reject malformed input, continue running, and never crash because of user error. This assumption defines the expected behaviour consistently across the application. </w:t>
      </w:r>
      <w:r/>
    </w:p>
    <w:p w14:paraId="28F2ADC3" w14:textId="77777777">
      <w:pPr>
        <w:pBdr/>
        <w:spacing/>
        <w:ind/>
        <w:rPr/>
      </w:pPr>
      <w:r>
        <mc:AlternateContent>
          <mc:Choice Requires="wpg">
            <w:drawing>
              <wp:inline xmlns:wp="http://schemas.openxmlformats.org/drawingml/2006/wordprocessingDrawing" distT="0" distB="0" distL="0" distR="0">
                <wp:extent cx="0" cy="19050"/>
                <wp:effectExtent l="0" t="0" r="0" b="0"/>
                <wp:docPr id="23" name="_x0000_i104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2" o:spid="_x0000_s22" o:spt="1" type="#_x0000_t1" style="width:0.00pt;height:1.50pt;mso-wrap-distance-left:0.00pt;mso-wrap-distance-top:0.00pt;mso-wrap-distance-right:0.00pt;mso-wrap-distance-bottom:0.00pt;visibility:visible;" fillcolor="#A0A0A0" stroked="f"/>
            </w:pict>
          </mc:Fallback>
        </mc:AlternateContent>
      </w:r>
      <w:r/>
    </w:p>
    <w:p w14:paraId="0100CEB0" w14:textId="77777777">
      <w:pPr>
        <w:pBdr/>
        <w:spacing/>
        <w:ind/>
        <w:rPr>
          <w:b/>
          <w:bCs/>
        </w:rPr>
      </w:pPr>
      <w:r>
        <w:rPr>
          <w:b/>
          <w:bCs/>
        </w:rPr>
        <w:t xml:space="preserve">24. Single-user operation</w:t>
      </w:r>
      <w:r>
        <w:rPr>
          <w:b/>
          <w:bCs/>
        </w:rPr>
      </w:r>
    </w:p>
    <w:p w14:paraId="1705D5EF" w14:textId="77777777">
      <w:pPr>
        <w:pBdr/>
        <w:spacing/>
        <w:ind/>
        <w:rPr/>
      </w:pPr>
      <w:r>
        <w:rPr>
          <w:b/>
          <w:bCs/>
        </w:rPr>
        <w:t xml:space="preserve">Assumption:</w:t>
      </w:r>
      <w:r>
        <w:br/>
        <w:t xml:space="preserve">The system is designed for one teller using the CLI at a time. Concurrent access, multi-user locking, and thread safety are not implemented.</w:t>
      </w:r>
      <w:r/>
    </w:p>
    <w:p w14:paraId="55ECFACE" w14:textId="77777777">
      <w:pPr>
        <w:pBdr/>
        <w:spacing/>
        <w:ind/>
        <w:rPr/>
      </w:pPr>
      <w:r>
        <w:rPr>
          <w:b/>
          <w:bCs/>
        </w:rPr>
        <w:t xml:space="preserve">Justification:</w:t>
      </w:r>
      <w:r>
        <w:br/>
        <w:t xml:space="preserve">The brief describes a console-based teller system and does not ask for concurrent or networked use. Adding multi-user support would increase complexity without improving alignment with the stated coursework requirements. </w:t>
      </w:r>
      <w:r/>
    </w:p>
    <w:p w14:paraId="7F5E9307" w14:textId="77777777">
      <w:pPr>
        <w:pBdr/>
        <w:spacing/>
        <w:ind/>
        <w:rPr/>
      </w:pPr>
      <w:r>
        <mc:AlternateContent>
          <mc:Choice Requires="wpg">
            <w:drawing>
              <wp:inline xmlns:wp="http://schemas.openxmlformats.org/drawingml/2006/wordprocessingDrawing" distT="0" distB="0" distL="0" distR="0">
                <wp:extent cx="0" cy="19050"/>
                <wp:effectExtent l="0" t="0" r="0" b="0"/>
                <wp:docPr id="24" name="_x0000_i104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3" o:spid="_x0000_s23" o:spt="1" type="#_x0000_t1" style="width:0.00pt;height:1.50pt;mso-wrap-distance-left:0.00pt;mso-wrap-distance-top:0.00pt;mso-wrap-distance-right:0.00pt;mso-wrap-distance-bottom:0.00pt;visibility:visible;" fillcolor="#A0A0A0" stroked="f"/>
            </w:pict>
          </mc:Fallback>
        </mc:AlternateContent>
      </w:r>
      <w:r/>
    </w:p>
    <w:p w14:paraId="6A3B6223" w14:textId="77777777">
      <w:pPr>
        <w:pBdr/>
        <w:spacing/>
        <w:ind/>
        <w:rPr>
          <w:b/>
          <w:bCs/>
        </w:rPr>
      </w:pPr>
      <w:r>
        <w:rPr>
          <w:b/>
          <w:bCs/>
        </w:rPr>
        <w:t xml:space="preserve">25. Scope of realism</w:t>
      </w:r>
      <w:r>
        <w:rPr>
          <w:b/>
          <w:bCs/>
        </w:rPr>
      </w:r>
    </w:p>
    <w:p w14:paraId="0330B674" w14:textId="77777777">
      <w:pPr>
        <w:pBdr/>
        <w:spacing/>
        <w:ind/>
        <w:rPr/>
      </w:pPr>
      <w:r>
        <w:rPr>
          <w:b/>
          <w:bCs/>
        </w:rPr>
        <w:t xml:space="preserve">Assumption:</w:t>
      </w:r>
      <w:r>
        <w:br/>
        <w:t xml:space="preserve">The system aims to reflect the workf</w:t>
      </w:r>
      <w:r>
        <w:t xml:space="preserve">low and rules of a teller-facing banking application, but it is not intended to replicate full production banking infrastructure such as encrypted authentication, live external verification, scheduled batch processing, or integration with payment networks.</w:t>
      </w:r>
      <w:r/>
    </w:p>
    <w:p w14:paraId="7ED43C88" w14:textId="631C3500">
      <w:pPr>
        <w:pBdr/>
        <w:spacing/>
        <w:ind/>
        <w:rPr/>
      </w:pPr>
      <w:r>
        <w:rPr>
          <w:b/>
          <w:bCs/>
        </w:rPr>
        <w:t xml:space="preserve">Justification:</w:t>
      </w:r>
      <w:r>
        <w:br/>
        <w:t xml:space="preserve">This assumption keeps the project grounded. The brief expects a robust and professional design, but still within the scope of a Java console application built by a student team.</w:t>
      </w:r>
      <w:r/>
    </w:p>
    <w:p w14:paraId="54503E31" w14:textId="247C4C43">
      <w:pPr>
        <w:pBdr/>
        <w:spacing/>
        <w:ind/>
        <w:rPr/>
      </w:pPr>
      <w:r>
        <mc:AlternateContent>
          <mc:Choice Requires="wpg">
            <w:drawing>
              <wp:inline xmlns:wp="http://schemas.openxmlformats.org/drawingml/2006/wordprocessingDrawing" distT="0" distB="0" distL="0" distR="0">
                <wp:extent cx="5943600" cy="19050"/>
                <wp:effectExtent l="0" t="0" r="0" b="0"/>
                <wp:docPr id="25" name="_x0000_i1069"/>
                <wp:cNvGraphicFramePr/>
                <a:graphic xmlns:a="http://schemas.openxmlformats.org/drawingml/2006/main">
                  <a:graphicData uri="http://schemas.microsoft.com/office/word/2010/wordprocessingShape">
                    <wps:wsp>
                      <wps:cNvPr id="0" name=""/>
                      <wps:cNvSpPr/>
                      <wps:spPr bwMode="auto">
                        <a:xfrm>
                          <a:off x="0" y="0"/>
                          <a:ext cx="594360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4" o:spid="_x0000_s24" o:spt="1" type="#_x0000_t1" style="width:468.00pt;height:1.50pt;mso-wrap-distance-left:0.00pt;mso-wrap-distance-top:0.00pt;mso-wrap-distance-right:0.00pt;mso-wrap-distance-bottom:0.00pt;visibility:visible;" fillcolor="#A0A0A0" stroked="f"/>
            </w:pict>
          </mc:Fallback>
        </mc:AlternateContent>
      </w:r>
      <w:r/>
    </w:p>
    <w:p w14:paraId="1C7031EA" w14:textId="77777777">
      <w:pPr>
        <w:pBdr/>
        <w:spacing/>
        <w:ind/>
        <w:rPr>
          <w:b/>
          <w:bCs/>
        </w:rPr>
      </w:pPr>
      <w:r>
        <w:rPr>
          <w:b/>
          <w:bCs/>
        </w:rPr>
        <w:t xml:space="preserve">26. Monetary precision and rounding</w:t>
      </w:r>
      <w:r>
        <w:rPr>
          <w:b/>
          <w:bCs/>
        </w:rPr>
      </w:r>
    </w:p>
    <w:p w14:paraId="1737AAAA" w14:textId="77777777">
      <w:pPr>
        <w:pBdr/>
        <w:spacing/>
        <w:ind/>
        <w:rPr/>
      </w:pPr>
      <w:r>
        <w:rPr>
          <w:b/>
          <w:bCs/>
        </w:rPr>
        <w:t xml:space="preserve">Assumption:</w:t>
      </w:r>
      <w:r>
        <w:br/>
        <w:t xml:space="preserve">Monetary values are stored as Java double rounded to two decimal places using half-up rounding at the point of storage. </w:t>
      </w:r>
      <w:r>
        <w:t xml:space="preserve">BigDecimal</w:t>
      </w:r>
      <w:r>
        <w:t xml:space="preserve"> is not used.</w:t>
      </w:r>
      <w:r/>
    </w:p>
    <w:p w14:paraId="4D9AE844" w14:textId="77777777">
      <w:pPr>
        <w:pBdr/>
        <w:spacing/>
        <w:ind/>
        <w:rPr/>
      </w:pPr>
      <w:r>
        <w:rPr>
          <w:b/>
          <w:bCs/>
        </w:rPr>
        <w:t xml:space="preserve">Justification:</w:t>
      </w:r>
      <w:r>
        <w:br/>
        <w:t xml:space="preserve">The brief requires pounds-and-pence handling but does not specify an internal numeric type. Half-up rounding of a double is straightforward, predictable at coursework scale, and avoids the additional complexity of </w:t>
      </w:r>
      <w:r>
        <w:t xml:space="preserve">BigDecimal</w:t>
      </w:r>
      <w:r>
        <w:t xml:space="preserve"> arithmetic. Minor floating-point drift is acceptable because every stored balance is re-rounded on assignment.</w:t>
      </w:r>
      <w:r/>
    </w:p>
    <w:p w14:paraId="4ACD4E7F" w14:textId="77777777">
      <w:pPr>
        <w:pBdr/>
        <w:spacing/>
        <w:ind/>
        <w:rPr/>
      </w:pPr>
      <w:r>
        <mc:AlternateContent>
          <mc:Choice Requires="wpg">
            <w:drawing>
              <wp:inline xmlns:wp="http://schemas.openxmlformats.org/drawingml/2006/wordprocessingDrawing" distT="0" distB="0" distL="0" distR="0">
                <wp:extent cx="5943600" cy="19050"/>
                <wp:effectExtent l="0" t="0" r="0" b="0"/>
                <wp:docPr id="26" name="_x0000_i1067"/>
                <wp:cNvGraphicFramePr/>
                <a:graphic xmlns:a="http://schemas.openxmlformats.org/drawingml/2006/main">
                  <a:graphicData uri="http://schemas.microsoft.com/office/word/2010/wordprocessingShape">
                    <wps:wsp>
                      <wps:cNvPr id="0" name=""/>
                      <wps:cNvSpPr/>
                      <wps:spPr bwMode="auto">
                        <a:xfrm>
                          <a:off x="0" y="0"/>
                          <a:ext cx="594360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5" o:spid="_x0000_s25" o:spt="1" type="#_x0000_t1" style="width:468.00pt;height:1.50pt;mso-wrap-distance-left:0.00pt;mso-wrap-distance-top:0.00pt;mso-wrap-distance-right:0.00pt;mso-wrap-distance-bottom:0.00pt;visibility:visible;" fillcolor="#A0A0A0" stroked="f"/>
            </w:pict>
          </mc:Fallback>
        </mc:AlternateContent>
      </w:r>
      <w:r/>
    </w:p>
    <w:p w14:paraId="0BDCA87F" w14:textId="77777777">
      <w:pPr>
        <w:pBdr/>
        <w:spacing/>
        <w:ind/>
        <w:rPr>
          <w:b/>
          <w:bCs/>
        </w:rPr>
      </w:pPr>
      <w:r>
        <w:rPr>
          <w:b/>
          <w:bCs/>
        </w:rPr>
        <w:t xml:space="preserve">27. Customer ID collision handling</w:t>
      </w:r>
      <w:r>
        <w:rPr>
          <w:b/>
          <w:bCs/>
        </w:rPr>
      </w:r>
    </w:p>
    <w:p w14:paraId="2B38C9AF" w14:textId="77777777">
      <w:pPr>
        <w:pBdr/>
        <w:spacing/>
        <w:ind/>
        <w:rPr/>
      </w:pPr>
      <w:r>
        <w:rPr>
          <w:b/>
          <w:bCs/>
        </w:rPr>
        <w:t xml:space="preserve">Assumption:</w:t>
      </w:r>
      <w:r>
        <w:br/>
        <w:t xml:space="preserve">Customer IDs are generated as random 6-digit numbers at account creation. Because the </w:t>
      </w:r>
      <w:r>
        <w:t xml:space="preserve">keyspace</w:t>
      </w:r>
      <w:r>
        <w:t xml:space="preserve"> is 900,000, a duplicate check is not performed, and collisions are treated as a known low-probability limitation rather than a guarded case.</w:t>
      </w:r>
      <w:r/>
    </w:p>
    <w:p w14:paraId="3C9E053B" w14:textId="77777777">
      <w:pPr>
        <w:pBdr/>
        <w:spacing/>
        <w:ind/>
        <w:rPr/>
      </w:pPr>
      <w:r>
        <w:rPr>
          <w:b/>
          <w:bCs/>
        </w:rPr>
        <w:t xml:space="preserve">Justification:</w:t>
      </w:r>
      <w:r>
        <w:br/>
        <w:t xml:space="preserve">The brief does not require guaranteed uniqueness of customer identifiers in the same way it does for account numbers. For a coursework dataset with</w:t>
      </w:r>
      <w:r>
        <w:t xml:space="preserve"> a small number of customers, the probability of collision is negligible, and avoiding the extra check keeps the customer creation path simple. Account numbers, which the brief explicitly requires to be unique, are still validated against existing records.</w:t>
      </w:r>
      <w:r/>
    </w:p>
    <w:p w14:paraId="153B8D4A" w14:textId="77777777">
      <w:pPr>
        <w:pBdr/>
        <w:spacing/>
        <w:ind/>
        <w:rPr/>
      </w:pPr>
      <w:r>
        <mc:AlternateContent>
          <mc:Choice Requires="wpg">
            <w:drawing>
              <wp:inline xmlns:wp="http://schemas.openxmlformats.org/drawingml/2006/wordprocessingDrawing" distT="0" distB="0" distL="0" distR="0">
                <wp:extent cx="5943600" cy="19050"/>
                <wp:effectExtent l="0" t="0" r="0" b="0"/>
                <wp:docPr id="27" name="_x0000_i1082"/>
                <wp:cNvGraphicFramePr/>
                <a:graphic xmlns:a="http://schemas.openxmlformats.org/drawingml/2006/main">
                  <a:graphicData uri="http://schemas.microsoft.com/office/word/2010/wordprocessingShape">
                    <wps:wsp>
                      <wps:cNvPr id="0" name=""/>
                      <wps:cNvSpPr/>
                      <wps:spPr bwMode="auto">
                        <a:xfrm>
                          <a:off x="0" y="0"/>
                          <a:ext cx="594360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6" o:spid="_x0000_s26" o:spt="1" type="#_x0000_t1" style="width:468.00pt;height:1.50pt;mso-wrap-distance-left:0.00pt;mso-wrap-distance-top:0.00pt;mso-wrap-distance-right:0.00pt;mso-wrap-distance-bottom:0.00pt;visibility:visible;" fillcolor="#A0A0A0" stroked="f"/>
            </w:pict>
          </mc:Fallback>
        </mc:AlternateContent>
      </w:r>
      <w:r/>
    </w:p>
    <w:p w14:paraId="28A81618" w14:textId="77777777">
      <w:pPr>
        <w:pBdr/>
        <w:spacing/>
        <w:ind/>
        <w:rPr>
          <w:b/>
          <w:bCs/>
        </w:rPr>
      </w:pPr>
      <w:r>
        <w:rPr>
          <w:b/>
          <w:bCs/>
        </w:rPr>
        <w:t xml:space="preserve">28. Customer record fields</w:t>
      </w:r>
      <w:r>
        <w:rPr>
          <w:b/>
          <w:bCs/>
        </w:rPr>
      </w:r>
    </w:p>
    <w:p w14:paraId="536451C3" w14:textId="77777777">
      <w:pPr>
        <w:pBdr/>
        <w:spacing/>
        <w:ind/>
        <w:rPr/>
      </w:pPr>
      <w:r>
        <w:rPr>
          <w:b/>
          <w:bCs/>
        </w:rPr>
        <w:t xml:space="preserve">Assumption:</w:t>
      </w:r>
      <w:r>
        <w:br/>
        <w:t xml:space="preserve">A customer record stores only the Customer ID, first name, last name, address, and the list of accounts held. Contact details such as phone number, email address, and date of birth are not stored.</w:t>
      </w:r>
      <w:r/>
    </w:p>
    <w:p w14:paraId="4AA184C6" w14:textId="77777777">
      <w:pPr>
        <w:pBdr/>
        <w:spacing/>
        <w:ind/>
        <w:rPr/>
      </w:pPr>
      <w:r>
        <w:rPr>
          <w:b/>
          <w:bCs/>
        </w:rPr>
        <w:t xml:space="preserve">Justification:</w:t>
      </w:r>
      <w:r>
        <w:br/>
        <w:t xml:space="preserve">The brief focuses on teller workflows and account rules rather than full KYC data capture. Limiting customer fields to the minimum needed for identification and </w:t>
      </w:r>
      <w:r>
        <w:t xml:space="preserve">correspondence keeps the model focused on the required functionality without introducing personal data that the system is not asked to handle.</w:t>
      </w:r>
      <w:r/>
    </w:p>
    <w:p w14:paraId="316F7F17" w14:textId="77777777">
      <w:pPr>
        <w:pBdr/>
        <w:spacing/>
        <w:ind/>
        <w:rPr/>
      </w:pPr>
      <w:r>
        <mc:AlternateContent>
          <mc:Choice Requires="wpg">
            <w:drawing>
              <wp:inline xmlns:wp="http://schemas.openxmlformats.org/drawingml/2006/wordprocessingDrawing" distT="0" distB="0" distL="0" distR="0">
                <wp:extent cx="5943600" cy="19050"/>
                <wp:effectExtent l="0" t="0" r="0" b="0"/>
                <wp:docPr id="28" name="_x0000_i1083"/>
                <wp:cNvGraphicFramePr/>
                <a:graphic xmlns:a="http://schemas.openxmlformats.org/drawingml/2006/main">
                  <a:graphicData uri="http://schemas.microsoft.com/office/word/2010/wordprocessingShape">
                    <wps:wsp>
                      <wps:cNvPr id="0" name=""/>
                      <wps:cNvSpPr/>
                      <wps:spPr bwMode="auto">
                        <a:xfrm>
                          <a:off x="0" y="0"/>
                          <a:ext cx="594360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7" o:spid="_x0000_s27" o:spt="1" type="#_x0000_t1" style="width:468.00pt;height:1.50pt;mso-wrap-distance-left:0.00pt;mso-wrap-distance-top:0.00pt;mso-wrap-distance-right:0.00pt;mso-wrap-distance-bottom:0.00pt;visibility:visible;" fillcolor="#A0A0A0" stroked="f"/>
            </w:pict>
          </mc:Fallback>
        </mc:AlternateContent>
      </w:r>
      <w:r/>
    </w:p>
    <w:p w14:paraId="10BBCB54" w14:textId="77777777">
      <w:pPr>
        <w:pBdr/>
        <w:spacing/>
        <w:ind/>
        <w:rPr>
          <w:b/>
          <w:bCs/>
        </w:rPr>
      </w:pPr>
      <w:r>
        <w:rPr>
          <w:b/>
          <w:bCs/>
        </w:rPr>
        <w:t xml:space="preserve">29. Date and time handling</w:t>
      </w:r>
      <w:r>
        <w:rPr>
          <w:b/>
          <w:bCs/>
        </w:rPr>
      </w:r>
    </w:p>
    <w:p w14:paraId="0F741C2D" w14:textId="77777777">
      <w:pPr>
        <w:pBdr/>
        <w:spacing/>
        <w:ind/>
        <w:rPr/>
      </w:pPr>
      <w:r>
        <w:rPr>
          <w:b/>
          <w:bCs/>
        </w:rPr>
        <w:t xml:space="preserve">Assumption:</w:t>
      </w:r>
      <w:r>
        <w:br/>
        <w:t xml:space="preserve">All timestamps are recorded using the host system’s local date and time via </w:t>
      </w:r>
      <w:r>
        <w:t xml:space="preserve">java.time</w:t>
      </w:r>
      <w:r>
        <w:t xml:space="preserve">.LocalDateTime</w:t>
      </w:r>
      <w:r>
        <w:t xml:space="preserve">. No time zone is stored, and no adjustment is made for daylight saving. Durations such as the 12-month business fee interval are measured in calendar months rather than as a rolling 365-day window.</w:t>
      </w:r>
      <w:r/>
    </w:p>
    <w:p w14:paraId="7469A8D6" w14:textId="77777777">
      <w:pPr>
        <w:pBdr/>
        <w:spacing/>
        <w:ind/>
        <w:rPr/>
      </w:pPr>
      <w:r>
        <w:rPr>
          <w:b/>
          <w:bCs/>
        </w:rPr>
        <w:t xml:space="preserve">Justification:</w:t>
      </w:r>
      <w:r>
        <w:br/>
        <w:t xml:space="preserve">The brief does not specify a time zone or duration convention. Using the local system clock is consistent with a single-branch teller system and matches the single-user scope set out in Assumption 24. Calendar-month arithmetic through </w:t>
      </w:r>
      <w:r>
        <w:t xml:space="preserve">java.time</w:t>
      </w:r>
      <w:r>
        <w:t xml:space="preserve"> is well-defined and easy to test.</w:t>
      </w:r>
      <w:r/>
    </w:p>
    <w:p w14:paraId="147F0651" w14:textId="77777777">
      <w:pPr>
        <w:pBdr/>
        <w:spacing/>
        <w:ind/>
        <w:rPr/>
      </w:pPr>
      <w:r>
        <mc:AlternateContent>
          <mc:Choice Requires="wpg">
            <w:drawing>
              <wp:inline xmlns:wp="http://schemas.openxmlformats.org/drawingml/2006/wordprocessingDrawing" distT="0" distB="0" distL="0" distR="0">
                <wp:extent cx="5943600" cy="19050"/>
                <wp:effectExtent l="0" t="0" r="0" b="0"/>
                <wp:docPr id="29" name="_x0000_i1104"/>
                <wp:cNvGraphicFramePr/>
                <a:graphic xmlns:a="http://schemas.openxmlformats.org/drawingml/2006/main">
                  <a:graphicData uri="http://schemas.microsoft.com/office/word/2010/wordprocessingShape">
                    <wps:wsp>
                      <wps:cNvPr id="0" name=""/>
                      <wps:cNvSpPr/>
                      <wps:spPr bwMode="auto">
                        <a:xfrm>
                          <a:off x="0" y="0"/>
                          <a:ext cx="594360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8" o:spid="_x0000_s28" o:spt="1" type="#_x0000_t1" style="width:468.00pt;height:1.50pt;mso-wrap-distance-left:0.00pt;mso-wrap-distance-top:0.00pt;mso-wrap-distance-right:0.00pt;mso-wrap-distance-bottom:0.00pt;visibility:visible;" fillcolor="#A0A0A0" stroked="f"/>
            </w:pict>
          </mc:Fallback>
        </mc:AlternateContent>
      </w:r>
      <w:r/>
    </w:p>
    <w:p w14:paraId="68220C8B" w14:textId="77777777">
      <w:pPr>
        <w:pBdr/>
        <w:spacing/>
        <w:ind/>
        <w:rPr>
          <w:b/>
          <w:bCs/>
        </w:rPr>
      </w:pPr>
      <w:r>
        <w:rPr>
          <w:b/>
          <w:bCs/>
        </w:rPr>
        <w:t xml:space="preserve">30. Startup and data loading</w:t>
      </w:r>
      <w:r>
        <w:rPr>
          <w:b/>
          <w:bCs/>
        </w:rPr>
      </w:r>
    </w:p>
    <w:p w14:paraId="7D481665" w14:textId="77777777">
      <w:pPr>
        <w:pBdr/>
        <w:spacing/>
        <w:ind/>
        <w:rPr/>
      </w:pPr>
      <w:r>
        <w:rPr>
          <w:b/>
          <w:bCs/>
        </w:rPr>
        <w:t xml:space="preserve">Assumption:</w:t>
      </w:r>
      <w:r>
        <w:br/>
        <w:t xml:space="preserve">On startup the system loads existing customers, accounts, and transactions from the JSO</w:t>
      </w:r>
      <w:r>
        <w:t xml:space="preserve">N files in the data directory. If the data directory or its files are missing, the system creates them and starts with an empty dataset. Malformed JSON is treated as a fatal startup error, with the failure written to the audit log before the program exits.</w:t>
      </w:r>
      <w:r/>
    </w:p>
    <w:p w14:paraId="51902218" w14:textId="77777777">
      <w:pPr>
        <w:pBdr/>
        <w:spacing/>
        <w:ind/>
        <w:rPr/>
      </w:pPr>
      <w:r>
        <w:rPr>
          <w:b/>
          <w:bCs/>
        </w:rPr>
        <w:t xml:space="preserve">Justification:</w:t>
      </w:r>
      <w:r>
        <w:br/>
        <w:t xml:space="preserve">The brief requires persistence across runs and requires the system</w:t>
      </w:r>
      <w:r>
        <w:t xml:space="preserve"> not to crash due to user error, but it does not cover startup recovery from corrupted files. Creating missing files allows the system to run from a fresh install, while refusing to start on malformed data prevents silent corruption of the customer record.</w:t>
      </w:r>
      <w:r/>
    </w:p>
    <w:p w14:paraId="2178C0DF" w14:textId="77777777">
      <w:pPr>
        <w:pBdr/>
        <w:spacing/>
        <w:ind/>
        <w:rPr/>
      </w:pPr>
      <w:r>
        <mc:AlternateContent>
          <mc:Choice Requires="wpg">
            <w:drawing>
              <wp:inline xmlns:wp="http://schemas.openxmlformats.org/drawingml/2006/wordprocessingDrawing" distT="0" distB="0" distL="0" distR="0">
                <wp:extent cx="5943600" cy="19050"/>
                <wp:effectExtent l="0" t="0" r="0" b="0"/>
                <wp:docPr id="30" name="_x0000_i1105"/>
                <wp:cNvGraphicFramePr/>
                <a:graphic xmlns:a="http://schemas.openxmlformats.org/drawingml/2006/main">
                  <a:graphicData uri="http://schemas.microsoft.com/office/word/2010/wordprocessingShape">
                    <wps:wsp>
                      <wps:cNvPr id="0" name=""/>
                      <wps:cNvSpPr/>
                      <wps:spPr bwMode="auto">
                        <a:xfrm>
                          <a:off x="0" y="0"/>
                          <a:ext cx="594360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9" o:spid="_x0000_s29" o:spt="1" type="#_x0000_t1" style="width:468.00pt;height:1.50pt;mso-wrap-distance-left:0.00pt;mso-wrap-distance-top:0.00pt;mso-wrap-distance-right:0.00pt;mso-wrap-distance-bottom:0.00pt;visibility:visible;" fillcolor="#A0A0A0" stroked="f"/>
            </w:pict>
          </mc:Fallback>
        </mc:AlternateContent>
      </w:r>
      <w:r/>
    </w:p>
    <w:p w14:paraId="308BEFCC" w14:textId="77777777">
      <w:pPr>
        <w:pBdr/>
        <w:spacing/>
        <w:ind/>
        <w:rPr>
          <w:b/>
          <w:bCs/>
        </w:rPr>
      </w:pPr>
      <w:r>
        <w:rPr>
          <w:b/>
          <w:bCs/>
        </w:rPr>
        <w:t xml:space="preserve">31. Persistence save timing</w:t>
      </w:r>
      <w:r>
        <w:rPr>
          <w:b/>
          <w:bCs/>
        </w:rPr>
      </w:r>
    </w:p>
    <w:p w14:paraId="037B3536" w14:textId="3E3101EB">
      <w:pPr>
        <w:pBdr/>
        <w:spacing/>
        <w:ind/>
        <w:rPr/>
      </w:pPr>
      <w:r>
        <w:rPr>
          <w:b/>
          <w:bCs/>
        </w:rPr>
        <w:t xml:space="preserve">Assumption:</w:t>
      </w:r>
      <w:r>
        <w:br/>
        <w:t xml:space="preserve">Data </w:t>
      </w:r>
      <w:r>
        <w:t xml:space="preserve">persisted</w:t>
      </w:r>
      <w:r>
        <w:t xml:space="preserve"> to JSON at the end of each session when the system shuts down cleanly through the exit option. Individual transactions are not saved immediately after they occur.</w:t>
      </w:r>
      <w:r/>
    </w:p>
    <w:p w14:paraId="28B512C3" w14:textId="77777777">
      <w:pPr>
        <w:pBdr/>
        <w:spacing/>
        <w:ind/>
        <w:rPr/>
      </w:pPr>
      <w:r>
        <w:rPr>
          <w:b/>
          <w:bCs/>
        </w:rPr>
        <w:t xml:space="preserve">Justification:</w:t>
      </w:r>
      <w:r>
        <w:br/>
        <w:t xml:space="preserve">The brief requires persistence across program runs but does not mandate a specific save strategy. End-of-session saves keep the disk I/O pattern simple and predictable for </w:t>
      </w:r>
      <w:r>
        <w:t xml:space="preserve">a single-user CLI. The trade-off, that a forced termination mid-session may lose recent transactions, is acceptable within the coursework scope and is reflected in the logging behaviour described in Assumption 21.</w:t>
      </w:r>
      <w:r/>
    </w:p>
    <w:p w14:paraId="459D9AE1" w14:textId="77777777">
      <w:pPr>
        <w:pBdr/>
        <w:spacing/>
        <w:ind/>
        <w:rPr/>
      </w:pPr>
      <w:r>
        <mc:AlternateContent>
          <mc:Choice Requires="wpg">
            <w:drawing>
              <wp:inline xmlns:wp="http://schemas.openxmlformats.org/drawingml/2006/wordprocessingDrawing" distT="0" distB="0" distL="0" distR="0">
                <wp:extent cx="5943600" cy="19050"/>
                <wp:effectExtent l="0" t="0" r="0" b="0"/>
                <wp:docPr id="31" name="_x0000_i1106"/>
                <wp:cNvGraphicFramePr/>
                <a:graphic xmlns:a="http://schemas.openxmlformats.org/drawingml/2006/main">
                  <a:graphicData uri="http://schemas.microsoft.com/office/word/2010/wordprocessingShape">
                    <wps:wsp>
                      <wps:cNvPr id="0" name=""/>
                      <wps:cNvSpPr/>
                      <wps:spPr bwMode="auto">
                        <a:xfrm>
                          <a:off x="0" y="0"/>
                          <a:ext cx="594360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0" o:spid="_x0000_s30" o:spt="1" type="#_x0000_t1" style="width:468.00pt;height:1.50pt;mso-wrap-distance-left:0.00pt;mso-wrap-distance-top:0.00pt;mso-wrap-distance-right:0.00pt;mso-wrap-distance-bottom:0.00pt;visibility:visible;" fillcolor="#A0A0A0" stroked="f"/>
            </w:pict>
          </mc:Fallback>
        </mc:AlternateContent>
      </w:r>
      <w:r/>
    </w:p>
    <w:p w14:paraId="72447D27" w14:textId="77777777">
      <w:pPr>
        <w:pBdr/>
        <w:spacing/>
        <w:ind/>
        <w:rPr>
          <w:b/>
          <w:bCs/>
        </w:rPr>
      </w:pPr>
      <w:r>
        <w:rPr>
          <w:b/>
          <w:bCs/>
        </w:rPr>
        <w:t xml:space="preserve">32. Account closure</w:t>
      </w:r>
      <w:r>
        <w:rPr>
          <w:b/>
          <w:bCs/>
        </w:rPr>
      </w:r>
    </w:p>
    <w:p w14:paraId="48822BB7" w14:textId="77777777">
      <w:pPr>
        <w:pBdr/>
        <w:spacing/>
        <w:ind/>
        <w:rPr/>
      </w:pPr>
      <w:r>
        <w:rPr>
          <w:b/>
          <w:bCs/>
        </w:rPr>
        <w:t xml:space="preserve">Assumption:</w:t>
      </w:r>
      <w:r>
        <w:br/>
        <w:t xml:space="preserve">Account closure is out of scope. Once an account is created, it persists for the lifetime of the customer record and cannot be deleted or deactivated through the teller menu.</w:t>
      </w:r>
      <w:r/>
    </w:p>
    <w:p w14:paraId="44D3F0B5" w14:textId="03D3CB1E">
      <w:pPr>
        <w:pBdr/>
        <w:spacing/>
        <w:ind/>
        <w:rPr/>
      </w:pPr>
      <w:r>
        <w:rPr>
          <w:b/>
          <w:bCs/>
        </w:rPr>
        <w:t xml:space="preserve">Justification:</w:t>
      </w:r>
      <w:r>
        <w:br/>
        <w:t xml:space="preserve">The brief lists account creation, management, and transaction handling but does not list account closure as a required operation. Leaving closure out keeps the ISA and Business Account uniqueness rules straightforward because there is no </w:t>
      </w:r>
      <w:r>
        <w:t xml:space="preserve">partially-closed</w:t>
      </w:r>
      <w:r>
        <w:t xml:space="preserve"> state to reason about.</w:t>
      </w:r>
      <w:r/>
    </w:p>
    <w:p w14:paraId="11C638CE" w14:textId="77777777">
      <w:pPr>
        <w:pBdr/>
        <w:spacing/>
        <w:ind/>
        <w:rPr/>
      </w:pPr>
      <w:r>
        <mc:AlternateContent>
          <mc:Choice Requires="wpg">
            <w:drawing>
              <wp:inline xmlns:wp="http://schemas.openxmlformats.org/drawingml/2006/wordprocessingDrawing" distT="0" distB="0" distL="0" distR="0">
                <wp:extent cx="5943600" cy="19050"/>
                <wp:effectExtent l="0" t="0" r="0" b="0"/>
                <wp:docPr id="32" name="_x0000_i1158"/>
                <wp:cNvGraphicFramePr/>
                <a:graphic xmlns:a="http://schemas.openxmlformats.org/drawingml/2006/main">
                  <a:graphicData uri="http://schemas.microsoft.com/office/word/2010/wordprocessingShape">
                    <wps:wsp>
                      <wps:cNvPr id="0" name=""/>
                      <wps:cNvSpPr/>
                      <wps:spPr bwMode="auto">
                        <a:xfrm>
                          <a:off x="0" y="0"/>
                          <a:ext cx="594360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1" o:spid="_x0000_s31" o:spt="1" type="#_x0000_t1" style="width:468.00pt;height:1.50pt;mso-wrap-distance-left:0.00pt;mso-wrap-distance-top:0.00pt;mso-wrap-distance-right:0.00pt;mso-wrap-distance-bottom:0.00pt;visibility:visible;" fillcolor="#A0A0A0" stroked="f"/>
            </w:pict>
          </mc:Fallback>
        </mc:AlternateContent>
      </w:r>
      <w:r/>
    </w:p>
    <w:p w14:paraId="7C7E03A2" w14:textId="77777777">
      <w:pPr>
        <w:pBdr/>
        <w:spacing/>
        <w:ind/>
        <w:rPr>
          <w:b/>
          <w:bCs/>
        </w:rPr>
      </w:pPr>
      <w:r>
        <w:rPr>
          <w:b/>
          <w:bCs/>
        </w:rPr>
        <w:t xml:space="preserve">33. Customer modification and removal</w:t>
      </w:r>
      <w:r>
        <w:rPr>
          <w:b/>
          <w:bCs/>
        </w:rPr>
      </w:r>
    </w:p>
    <w:p w14:paraId="095E6507" w14:textId="77777777">
      <w:pPr>
        <w:pBdr/>
        <w:spacing/>
        <w:ind/>
        <w:rPr/>
      </w:pPr>
      <w:r>
        <w:rPr>
          <w:b/>
          <w:bCs/>
        </w:rPr>
        <w:t xml:space="preserve">Assumption:</w:t>
      </w:r>
      <w:r>
        <w:br/>
        <w:t xml:space="preserve">Customer records cannot be edited or removed through the CLI once created. Changes to name or address require direct modification of the underlying JSON data.</w:t>
      </w:r>
      <w:r/>
    </w:p>
    <w:p w14:paraId="055664BC" w14:textId="77777777">
      <w:pPr>
        <w:pBdr/>
        <w:spacing/>
        <w:ind/>
        <w:rPr/>
      </w:pPr>
      <w:r>
        <w:rPr>
          <w:b/>
          <w:bCs/>
        </w:rPr>
        <w:t xml:space="preserve">Justification:</w:t>
      </w:r>
      <w:r>
        <w:br/>
        <w:t xml:space="preserve">The brief does not list customer amendment as a required teller operation. Treating customer records as effectively immutable at the application layer keeps the authentication flow predictable and reduces the surface area for input-validation edge cases.</w:t>
      </w:r>
      <w:r/>
    </w:p>
    <w:p w14:paraId="5E6333B2" w14:textId="77777777">
      <w:pPr>
        <w:pBdr/>
        <w:spacing/>
        <w:ind/>
        <w:rPr/>
      </w:pPr>
      <w:r>
        <mc:AlternateContent>
          <mc:Choice Requires="wpg">
            <w:drawing>
              <wp:inline xmlns:wp="http://schemas.openxmlformats.org/drawingml/2006/wordprocessingDrawing" distT="0" distB="0" distL="0" distR="0">
                <wp:extent cx="5943600" cy="19050"/>
                <wp:effectExtent l="0" t="0" r="0" b="0"/>
                <wp:docPr id="33" name="_x0000_i1159"/>
                <wp:cNvGraphicFramePr/>
                <a:graphic xmlns:a="http://schemas.openxmlformats.org/drawingml/2006/main">
                  <a:graphicData uri="http://schemas.microsoft.com/office/word/2010/wordprocessingShape">
                    <wps:wsp>
                      <wps:cNvPr id="0" name=""/>
                      <wps:cNvSpPr/>
                      <wps:spPr bwMode="auto">
                        <a:xfrm>
                          <a:off x="0" y="0"/>
                          <a:ext cx="594360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2" o:spid="_x0000_s32" o:spt="1" type="#_x0000_t1" style="width:468.00pt;height:1.50pt;mso-wrap-distance-left:0.00pt;mso-wrap-distance-top:0.00pt;mso-wrap-distance-right:0.00pt;mso-wrap-distance-bottom:0.00pt;visibility:visible;" fillcolor="#A0A0A0" stroked="f"/>
            </w:pict>
          </mc:Fallback>
        </mc:AlternateContent>
      </w:r>
      <w:r/>
    </w:p>
    <w:p w14:paraId="1EC324BC" w14:textId="77777777">
      <w:pPr>
        <w:pBdr/>
        <w:spacing/>
        <w:ind/>
        <w:rPr>
          <w:b/>
          <w:bCs/>
        </w:rPr>
      </w:pPr>
      <w:r>
        <w:rPr>
          <w:b/>
          <w:bCs/>
        </w:rPr>
        <w:t xml:space="preserve">34. Transaction immutability and ordering</w:t>
      </w:r>
      <w:r>
        <w:rPr>
          <w:b/>
          <w:bCs/>
        </w:rPr>
      </w:r>
    </w:p>
    <w:p w14:paraId="3F64F772" w14:textId="77777777">
      <w:pPr>
        <w:pBdr/>
        <w:spacing/>
        <w:ind/>
        <w:rPr/>
      </w:pPr>
      <w:r>
        <w:rPr>
          <w:b/>
          <w:bCs/>
        </w:rPr>
        <w:t xml:space="preserve">Assumption:</w:t>
      </w:r>
      <w:r>
        <w:br/>
        <w:t xml:space="preserve">Transactions are append-only. Once a transaction has been added to an account’s history it cannot be modified or removed, and transactions are displayed in the order they were recorded.</w:t>
      </w:r>
      <w:r/>
    </w:p>
    <w:p w14:paraId="1F759E44" w14:textId="77777777">
      <w:pPr>
        <w:pBdr/>
        <w:spacing/>
        <w:ind/>
        <w:rPr/>
      </w:pPr>
      <w:r>
        <w:rPr>
          <w:b/>
          <w:bCs/>
        </w:rPr>
        <w:t xml:space="preserve">Justification:</w:t>
      </w:r>
      <w:r>
        <w:br/>
        <w:t xml:space="preserve">The brief requires a re</w:t>
      </w:r>
      <w:r>
        <w:t xml:space="preserve">liable transaction history and timestamped logs. Treating transactions as immutable records, and preserving insertion order rather than re-sorting by timestamp, produces a clear audit trail and avoids any ambiguity when two events share the same timestamp.</w:t>
      </w:r>
      <w:r/>
    </w:p>
    <w:p w14:paraId="52433A66" w14:textId="77777777">
      <w:pPr>
        <w:pBdr/>
        <w:spacing/>
        <w:ind/>
        <w:rPr/>
      </w:pPr>
      <w:r/>
      <w:r/>
    </w:p>
    <w:p w14:paraId="7E4565F9" w14:textId="77777777">
      <w:pPr>
        <w:pBdr/>
        <w:spacing/>
        <w:ind/>
        <w:rPr/>
      </w:pPr>
      <w:r>
        <mc:AlternateContent>
          <mc:Choice Requires="wpg">
            <w:drawing>
              <wp:inline xmlns:wp="http://schemas.openxmlformats.org/drawingml/2006/wordprocessingDrawing" distT="0" distB="0" distL="0" distR="0">
                <wp:extent cx="5943600" cy="19050"/>
                <wp:effectExtent l="0" t="0" r="0" b="0"/>
                <wp:docPr id="34" name="_x0000_i1160"/>
                <wp:cNvGraphicFramePr/>
                <a:graphic xmlns:a="http://schemas.openxmlformats.org/drawingml/2006/main">
                  <a:graphicData uri="http://schemas.microsoft.com/office/word/2010/wordprocessingShape">
                    <wps:wsp>
                      <wps:cNvPr id="0" name=""/>
                      <wps:cNvSpPr/>
                      <wps:spPr bwMode="auto">
                        <a:xfrm>
                          <a:off x="0" y="0"/>
                          <a:ext cx="594360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3" o:spid="_x0000_s33" o:spt="1" type="#_x0000_t1" style="width:468.00pt;height:1.50pt;mso-wrap-distance-left:0.00pt;mso-wrap-distance-top:0.00pt;mso-wrap-distance-right:0.00pt;mso-wrap-distance-bottom:0.00pt;visibility:visible;" fillcolor="#A0A0A0" stroked="f"/>
            </w:pict>
          </mc:Fallback>
        </mc:AlternateContent>
      </w:r>
      <w:r/>
    </w:p>
    <w:p w14:paraId="47660867" w14:textId="77777777">
      <w:pPr>
        <w:pBdr/>
        <w:spacing/>
        <w:ind/>
        <w:rPr>
          <w:b/>
          <w:bCs/>
        </w:rPr>
      </w:pPr>
      <w:r>
        <w:rPr>
          <w:b/>
          <w:bCs/>
        </w:rPr>
        <w:t xml:space="preserve">35. Authoritative balance source</w:t>
      </w:r>
      <w:r>
        <w:rPr>
          <w:b/>
          <w:bCs/>
        </w:rPr>
      </w:r>
    </w:p>
    <w:p w14:paraId="305D3681" w14:textId="77777777">
      <w:pPr>
        <w:pBdr/>
        <w:spacing/>
        <w:ind/>
        <w:rPr/>
      </w:pPr>
      <w:r>
        <w:rPr>
          <w:b/>
          <w:bCs/>
        </w:rPr>
        <w:t xml:space="preserve">Assumption:</w:t>
      </w:r>
      <w:r>
        <w:br/>
        <w:t xml:space="preserve">The current balance stored on each account is the authoritative value used for all teller operations. The </w:t>
      </w:r>
      <w:r>
        <w:t xml:space="preserve">balanceAfter</w:t>
      </w:r>
      <w:r>
        <w:t xml:space="preserve"> value stored on each transaction is an audit field and is not used to reconstruct the balance from history at runtime.</w:t>
      </w:r>
      <w:r/>
    </w:p>
    <w:p w14:paraId="0300B99A" w14:textId="77777777">
      <w:pPr>
        <w:pBdr/>
        <w:spacing/>
        <w:ind/>
        <w:rPr/>
      </w:pPr>
      <w:r>
        <w:rPr>
          <w:b/>
          <w:bCs/>
        </w:rPr>
        <w:t xml:space="preserve">Justification:</w:t>
      </w:r>
      <w:r>
        <w:br/>
        <w:t xml:space="preserve">The brief requires accurate balances and a clear au</w:t>
      </w:r>
      <w:r>
        <w:t xml:space="preserve">dit trail but does not require event-sourced reconstruction. Keeping the stored balance as the source of truth simplifies deposits, withdrawals, and overdraft checks, while the transaction history still provides the evidence needed to verify past activity.</w:t>
      </w:r>
      <w:r/>
    </w:p>
    <w:p w14:paraId="4DDCE80A" w14:textId="77777777">
      <w:pPr>
        <w:pBdr/>
        <w:spacing/>
        <w:ind/>
        <w:rPr/>
      </w:pPr>
      <w:r>
        <mc:AlternateContent>
          <mc:Choice Requires="wpg">
            <w:drawing>
              <wp:inline xmlns:wp="http://schemas.openxmlformats.org/drawingml/2006/wordprocessingDrawing" distT="0" distB="0" distL="0" distR="0">
                <wp:extent cx="5943600" cy="19050"/>
                <wp:effectExtent l="0" t="0" r="0" b="0"/>
                <wp:docPr id="35" name="_x0000_i1161"/>
                <wp:cNvGraphicFramePr/>
                <a:graphic xmlns:a="http://schemas.openxmlformats.org/drawingml/2006/main">
                  <a:graphicData uri="http://schemas.microsoft.com/office/word/2010/wordprocessingShape">
                    <wps:wsp>
                      <wps:cNvPr id="0" name=""/>
                      <wps:cNvSpPr/>
                      <wps:spPr bwMode="auto">
                        <a:xfrm>
                          <a:off x="0" y="0"/>
                          <a:ext cx="594360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4" o:spid="_x0000_s34" o:spt="1" type="#_x0000_t1" style="width:468.00pt;height:1.50pt;mso-wrap-distance-left:0.00pt;mso-wrap-distance-top:0.00pt;mso-wrap-distance-right:0.00pt;mso-wrap-distance-bottom:0.00pt;visibility:visible;" fillcolor="#A0A0A0" stroked="f"/>
            </w:pict>
          </mc:Fallback>
        </mc:AlternateContent>
      </w:r>
      <w:r/>
    </w:p>
    <w:p w14:paraId="2EBEB016" w14:textId="77777777">
      <w:pPr>
        <w:pBdr/>
        <w:spacing/>
        <w:ind/>
        <w:rPr>
          <w:b/>
          <w:bCs/>
        </w:rPr>
      </w:pPr>
      <w:r>
        <w:rPr>
          <w:b/>
          <w:bCs/>
        </w:rPr>
        <w:t xml:space="preserve">36. Transaction amount validation</w:t>
      </w:r>
      <w:r>
        <w:rPr>
          <w:b/>
          <w:bCs/>
        </w:rPr>
      </w:r>
    </w:p>
    <w:p w14:paraId="64760E69" w14:textId="216F96F5">
      <w:pPr>
        <w:pBdr/>
        <w:spacing/>
        <w:ind/>
        <w:rPr/>
      </w:pPr>
      <w:r>
        <w:rPr>
          <w:b/>
          <w:bCs/>
        </w:rPr>
        <w:t xml:space="preserve">Assumption:</w:t>
      </w:r>
      <w:r>
        <w:br/>
        <w:t xml:space="preserve">Deposits and withdrawals must be strictly greater than zero. Zero-amount and negative-amount transactions are rejected with an error message. No upper limit is placed on the size of a single transaction beyond the overdraft.</w:t>
      </w:r>
      <w:r/>
    </w:p>
    <w:p w14:paraId="2013CADB" w14:textId="77777777">
      <w:pPr>
        <w:pBdr/>
        <w:spacing/>
        <w:ind/>
        <w:rPr/>
      </w:pPr>
      <w:r>
        <w:rPr>
          <w:b/>
          <w:bCs/>
        </w:rPr>
        <w:t xml:space="preserve">Justification:</w:t>
      </w:r>
      <w:r>
        <w:br/>
        <w:t xml:space="preserve">The brief requires rejection of negative deposits and malformed numb</w:t>
      </w:r>
      <w:r>
        <w:t xml:space="preserve">ers. Making zero-amount transactions invalid as well avoids recording meaningless events in the transaction history. Omitting an upper limit keeps the system usable for business accounts without introducing an arbitrary cap that the brief does not require.</w:t>
      </w:r>
      <w:r/>
    </w:p>
    <w:p w14:paraId="3259FEF0" w14:textId="77777777">
      <w:pPr>
        <w:pBdr/>
        <w:spacing/>
        <w:ind/>
        <w:rPr/>
      </w:pPr>
      <w:r>
        <mc:AlternateContent>
          <mc:Choice Requires="wpg">
            <w:drawing>
              <wp:inline xmlns:wp="http://schemas.openxmlformats.org/drawingml/2006/wordprocessingDrawing" distT="0" distB="0" distL="0" distR="0">
                <wp:extent cx="5943600" cy="19050"/>
                <wp:effectExtent l="0" t="0" r="0" b="0"/>
                <wp:docPr id="36" name="_x0000_i1162"/>
                <wp:cNvGraphicFramePr/>
                <a:graphic xmlns:a="http://schemas.openxmlformats.org/drawingml/2006/main">
                  <a:graphicData uri="http://schemas.microsoft.com/office/word/2010/wordprocessingShape">
                    <wps:wsp>
                      <wps:cNvPr id="0" name=""/>
                      <wps:cNvSpPr/>
                      <wps:spPr bwMode="auto">
                        <a:xfrm>
                          <a:off x="0" y="0"/>
                          <a:ext cx="594360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5" o:spid="_x0000_s35" o:spt="1" type="#_x0000_t1" style="width:468.00pt;height:1.50pt;mso-wrap-distance-left:0.00pt;mso-wrap-distance-top:0.00pt;mso-wrap-distance-right:0.00pt;mso-wrap-distance-bottom:0.00pt;visibility:visible;" fillcolor="#A0A0A0" stroked="f"/>
            </w:pict>
          </mc:Fallback>
        </mc:AlternateContent>
      </w:r>
      <w:r/>
    </w:p>
    <w:p w14:paraId="41960CB0" w14:textId="77777777">
      <w:pPr>
        <w:pBdr/>
        <w:spacing/>
        <w:ind/>
        <w:rPr>
          <w:b/>
          <w:bCs/>
        </w:rPr>
      </w:pPr>
      <w:r>
        <w:rPr>
          <w:b/>
          <w:bCs/>
        </w:rPr>
        <w:t xml:space="preserve">37. Hard-coded sort code values</w:t>
      </w:r>
      <w:r>
        <w:rPr>
          <w:b/>
          <w:bCs/>
        </w:rPr>
      </w:r>
    </w:p>
    <w:p w14:paraId="34718B10" w14:textId="77777777">
      <w:pPr>
        <w:pBdr/>
        <w:spacing/>
        <w:ind/>
        <w:rPr/>
      </w:pPr>
      <w:r>
        <w:rPr>
          <w:b/>
          <w:bCs/>
        </w:rPr>
        <w:t xml:space="preserve">Assumption:</w:t>
      </w:r>
      <w:r>
        <w:br/>
        <w:t xml:space="preserve">The sort codes assigned by the system are: 60-60-60 for Personal Accounts, 60-60-70 for ISA Accounts, and 60-70-70 for Business Accounts. These values are defined in code as constants and cannot be changed at runtime.</w:t>
      </w:r>
      <w:r/>
    </w:p>
    <w:p w14:paraId="02F0B776" w14:textId="23A2DD56">
      <w:pPr>
        <w:pBdr/>
        <w:spacing/>
        <w:ind/>
        <w:rPr/>
      </w:pPr>
      <w:r>
        <w:rPr>
          <w:b/>
          <w:bCs/>
        </w:rPr>
        <w:t xml:space="preserve">Justification:</w:t>
      </w:r>
      <w:r>
        <w:br/>
        <w:t xml:space="preserve">The brief specifies these exact sort codes and requires them to be </w:t>
      </w:r>
      <w:r>
        <w:t xml:space="preserve">hard coded</w:t>
      </w:r>
      <w:r>
        <w:t xml:space="preserve"> by account type. Recording the values here </w:t>
      </w:r>
      <w:r>
        <w:t xml:space="preserve">assumes</w:t>
      </w:r>
      <w:r>
        <w:t xml:space="preserve"> self-contained and removes any ambiguity about which code is assigned when a new account is created.</w:t>
      </w:r>
      <w:r/>
    </w:p>
    <w:p w14:paraId="67BAEAC1" w14:textId="77777777">
      <w:pPr>
        <w:pBdr/>
        <w:spacing/>
        <w:ind/>
        <w:rPr/>
      </w:pPr>
      <w:r>
        <mc:AlternateContent>
          <mc:Choice Requires="wpg">
            <w:drawing>
              <wp:inline xmlns:wp="http://schemas.openxmlformats.org/drawingml/2006/wordprocessingDrawing" distT="0" distB="0" distL="0" distR="0">
                <wp:extent cx="5943600" cy="19050"/>
                <wp:effectExtent l="0" t="0" r="0" b="0"/>
                <wp:docPr id="37" name="_x0000_i1163"/>
                <wp:cNvGraphicFramePr/>
                <a:graphic xmlns:a="http://schemas.openxmlformats.org/drawingml/2006/main">
                  <a:graphicData uri="http://schemas.microsoft.com/office/word/2010/wordprocessingShape">
                    <wps:wsp>
                      <wps:cNvPr id="0" name=""/>
                      <wps:cNvSpPr/>
                      <wps:spPr bwMode="auto">
                        <a:xfrm>
                          <a:off x="0" y="0"/>
                          <a:ext cx="594360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6" o:spid="_x0000_s36" o:spt="1" type="#_x0000_t1" style="width:468.00pt;height:1.50pt;mso-wrap-distance-left:0.00pt;mso-wrap-distance-top:0.00pt;mso-wrap-distance-right:0.00pt;mso-wrap-distance-bottom:0.00pt;visibility:visible;" fillcolor="#A0A0A0" stroked="f"/>
            </w:pict>
          </mc:Fallback>
        </mc:AlternateContent>
      </w:r>
      <w:r/>
    </w:p>
    <w:p w14:paraId="06002E2D" w14:textId="77777777">
      <w:pPr>
        <w:pBdr/>
        <w:spacing/>
        <w:ind/>
        <w:rPr>
          <w:b/>
          <w:bCs/>
        </w:rPr>
      </w:pPr>
      <w:r>
        <w:rPr>
          <w:b/>
          <w:bCs/>
        </w:rPr>
      </w:r>
      <w:r>
        <w:rPr>
          <w:b/>
          <w:bCs/>
        </w:rPr>
      </w:r>
    </w:p>
    <w:p w14:paraId="7C2B51B2" w14:textId="77777777">
      <w:pPr>
        <w:pBdr/>
        <w:spacing/>
        <w:ind/>
        <w:rPr>
          <w:b/>
          <w:bCs/>
        </w:rPr>
      </w:pPr>
      <w:r>
        <w:rPr>
          <w:b/>
          <w:bCs/>
        </w:rPr>
      </w:r>
      <w:r>
        <w:rPr>
          <w:b/>
          <w:bCs/>
        </w:rPr>
      </w:r>
    </w:p>
    <w:p w14:paraId="08CCD37F" w14:textId="4FF81ADC">
      <w:pPr>
        <w:pBdr/>
        <w:spacing/>
        <w:ind/>
        <w:rPr>
          <w:b/>
          <w:bCs/>
        </w:rPr>
      </w:pPr>
      <w:r>
        <w:rPr>
          <w:b/>
          <w:bCs/>
        </w:rPr>
        <w:t xml:space="preserve">38. Account number display format</w:t>
      </w:r>
      <w:r>
        <w:rPr>
          <w:b/>
          <w:bCs/>
        </w:rPr>
      </w:r>
    </w:p>
    <w:p w14:paraId="34DA7066" w14:textId="75B578BD">
      <w:pPr>
        <w:pBdr/>
        <w:spacing/>
        <w:ind/>
        <w:rPr/>
      </w:pPr>
      <w:r>
        <w:rPr>
          <w:b/>
          <w:bCs/>
        </w:rPr>
        <w:t xml:space="preserve">Assumption:</w:t>
      </w:r>
      <w:r>
        <w:br/>
        <w:t xml:space="preserve">Account numbers are displayed as an 8-digit string with leading zeros preserved where present, for example 00123456. They are stored in a dedicated </w:t>
      </w:r>
      <w:r>
        <w:t xml:space="preserve">AccountNumber</w:t>
      </w:r>
      <w:r>
        <w:t xml:space="preserve"> </w:t>
      </w:r>
      <w:r>
        <w:t xml:space="preserve">type,</w:t>
      </w:r>
      <w:r>
        <w:t xml:space="preserve"> so the display form is consistent across menus, logs, and persisted data.</w:t>
      </w:r>
      <w:r/>
    </w:p>
    <w:p w14:paraId="3B16DAE9" w14:textId="77777777">
      <w:pPr>
        <w:pBdr/>
        <w:spacing/>
        <w:ind/>
        <w:rPr/>
      </w:pPr>
      <w:r>
        <w:rPr>
          <w:b/>
          <w:bCs/>
        </w:rPr>
        <w:t xml:space="preserve">Justification:</w:t>
      </w:r>
      <w:r>
        <w:br/>
        <w:t xml:space="preserve">The brief requires account numbers to be exactly 8 digit</w:t>
      </w:r>
      <w:r>
        <w:t xml:space="preserve">s and stored in a stable format for display and lookup. Preserving leading zeros ensures a number generated as 123456 is never confused with a separate 6-digit value, and wrapping the value in its own type prevents accidental conversion to a plain integer.</w:t>
      </w:r>
      <w:r/>
    </w:p>
    <w:p w14:paraId="76D8FF06" w14:textId="77777777">
      <w:pPr>
        <w:pBdr/>
        <w:spacing/>
        <w:ind/>
        <w:rPr/>
      </w:pPr>
      <w:r>
        <mc:AlternateContent>
          <mc:Choice Requires="wpg">
            <w:drawing>
              <wp:inline xmlns:wp="http://schemas.openxmlformats.org/drawingml/2006/wordprocessingDrawing" distT="0" distB="0" distL="0" distR="0">
                <wp:extent cx="5943600" cy="19050"/>
                <wp:effectExtent l="0" t="0" r="0" b="0"/>
                <wp:docPr id="38" name="_x0000_i1164"/>
                <wp:cNvGraphicFramePr/>
                <a:graphic xmlns:a="http://schemas.openxmlformats.org/drawingml/2006/main">
                  <a:graphicData uri="http://schemas.microsoft.com/office/word/2010/wordprocessingShape">
                    <wps:wsp>
                      <wps:cNvPr id="0" name=""/>
                      <wps:cNvSpPr/>
                      <wps:spPr bwMode="auto">
                        <a:xfrm>
                          <a:off x="0" y="0"/>
                          <a:ext cx="594360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7" o:spid="_x0000_s37" o:spt="1" type="#_x0000_t1" style="width:468.00pt;height:1.50pt;mso-wrap-distance-left:0.00pt;mso-wrap-distance-top:0.00pt;mso-wrap-distance-right:0.00pt;mso-wrap-distance-bottom:0.00pt;visibility:visible;" fillcolor="#A0A0A0" stroked="f"/>
            </w:pict>
          </mc:Fallback>
        </mc:AlternateContent>
      </w:r>
      <w:r/>
    </w:p>
    <w:p w14:paraId="7DBC75F9" w14:textId="77777777">
      <w:pPr>
        <w:pBdr/>
        <w:spacing/>
        <w:ind/>
        <w:rPr>
          <w:b/>
          <w:bCs/>
        </w:rPr>
      </w:pPr>
      <w:r>
        <w:rPr>
          <w:b/>
          <w:bCs/>
        </w:rPr>
        <w:t xml:space="preserve">39. Switching customers mid-session</w:t>
      </w:r>
      <w:r>
        <w:rPr>
          <w:b/>
          <w:bCs/>
        </w:rPr>
      </w:r>
    </w:p>
    <w:p w14:paraId="4206C7C5" w14:textId="77777777">
      <w:pPr>
        <w:pBdr/>
        <w:spacing/>
        <w:ind/>
        <w:rPr/>
      </w:pPr>
      <w:r>
        <w:rPr>
          <w:b/>
          <w:bCs/>
        </w:rPr>
        <w:t xml:space="preserve">Assumption:</w:t>
      </w:r>
      <w:r>
        <w:br/>
        <w:t xml:space="preserve">The teller can s</w:t>
      </w:r>
      <w:r>
        <w:t xml:space="preserve">witch to a different customer from the main menu without restarting the program. Switching clears the currently authenticated customer from the session and requires the teller to identify the next customer before any further account operations are allowed.</w:t>
      </w:r>
      <w:r/>
    </w:p>
    <w:p w14:paraId="13C435DF" w14:textId="3A11E99C">
      <w:pPr>
        <w:pBdr/>
        <w:spacing/>
        <w:ind/>
        <w:rPr/>
      </w:pPr>
      <w:r>
        <w:rPr>
          <w:b/>
          <w:bCs/>
        </w:rPr>
        <w:t xml:space="preserve">Justification:</w:t>
      </w:r>
      <w:r>
        <w:br/>
        <w:t xml:space="preserve">T</w:t>
      </w:r>
      <w:r>
        <w:t xml:space="preserve">he brief explicitly requires tellers to switch between customers without restarting. Clearing the session context on switch prevents account operations from being performed against the wrong customer and keeps the authentication rule consistently enforced.</w:t>
      </w:r>
      <w:r/>
    </w:p>
    <w:p w14:paraId="644AFCB3" w14:textId="0509BAD4">
      <w:pPr>
        <w:pBdr/>
        <w:spacing/>
        <w:ind/>
        <w:rPr/>
      </w:pPr>
      <w:r>
        <mc:AlternateContent>
          <mc:Choice Requires="wpg">
            <w:drawing>
              <wp:inline xmlns:wp="http://schemas.openxmlformats.org/drawingml/2006/wordprocessingDrawing" distT="0" distB="0" distL="0" distR="0">
                <wp:extent cx="5943600" cy="19050"/>
                <wp:effectExtent l="0" t="0" r="0" b="0"/>
                <wp:docPr id="39" name="_x0000_i1175"/>
                <wp:cNvGraphicFramePr/>
                <a:graphic xmlns:a="http://schemas.openxmlformats.org/drawingml/2006/main">
                  <a:graphicData uri="http://schemas.microsoft.com/office/word/2010/wordprocessingShape">
                    <wps:wsp>
                      <wps:cNvPr id="0" name=""/>
                      <wps:cNvSpPr/>
                      <wps:spPr bwMode="auto">
                        <a:xfrm>
                          <a:off x="0" y="0"/>
                          <a:ext cx="594360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8" o:spid="_x0000_s38" o:spt="1" type="#_x0000_t1" style="width:468.00pt;height:1.50pt;mso-wrap-distance-left:0.00pt;mso-wrap-distance-top:0.00pt;mso-wrap-distance-right:0.00pt;mso-wrap-distance-bottom:0.00pt;visibility:visible;" fillcolor="#A0A0A0" stroked="f"/>
            </w:pict>
          </mc:Fallback>
        </mc:AlternateContent>
      </w:r>
      <w:r/>
    </w:p>
    <w:p w14:paraId="170FA0A2" w14:textId="7E9EA5E8">
      <w:pPr>
        <w:pBdr/>
        <w:spacing/>
        <w:ind/>
        <w:rPr>
          <w:b/>
          <w:bCs/>
          <w:u w:val="single"/>
        </w:rPr>
      </w:pPr>
      <w:r>
        <w:rPr>
          <w:b/>
          <w:bCs/>
          <w:u w:val="single"/>
        </w:rPr>
        <w:t xml:space="preserve">Contributors</w:t>
      </w:r>
      <w:r>
        <w:rPr>
          <w:b/>
          <w:bCs/>
          <w:u w:val="single"/>
        </w:rPr>
      </w:r>
    </w:p>
    <w:p w14:paraId="4D9226C4" w14:textId="77777777">
      <w:pPr>
        <w:numPr>
          <w:ilvl w:val="0"/>
          <w:numId w:val="14"/>
        </w:numPr>
        <w:pBdr/>
        <w:spacing/>
        <w:ind/>
        <w:rPr/>
      </w:pPr>
      <w:r>
        <w:t xml:space="preserve">Michael Adeleye</w:t>
      </w:r>
      <w:r/>
    </w:p>
    <w:p w14:paraId="7AE604B7" w14:textId="77777777">
      <w:pPr>
        <w:numPr>
          <w:ilvl w:val="0"/>
          <w:numId w:val="14"/>
        </w:numPr>
        <w:pBdr/>
        <w:spacing/>
        <w:ind/>
        <w:rPr/>
      </w:pPr>
      <w:r>
        <w:t xml:space="preserve">Vanit Kashab</w:t>
      </w:r>
      <w:r/>
    </w:p>
    <w:p w14:paraId="654FE6AD" w14:textId="77777777">
      <w:pPr>
        <w:numPr>
          <w:ilvl w:val="0"/>
          <w:numId w:val="14"/>
        </w:numPr>
        <w:pBdr/>
        <w:spacing/>
        <w:ind/>
        <w:rPr/>
      </w:pPr>
      <w:r>
        <w:t xml:space="preserve">Riaz Hussein</w:t>
      </w:r>
      <w:r/>
    </w:p>
    <w:p w14:paraId="455160FA" w14:textId="77777777">
      <w:pPr>
        <w:numPr>
          <w:ilvl w:val="0"/>
          <w:numId w:val="14"/>
        </w:numPr>
        <w:pBdr/>
        <w:spacing/>
        <w:ind/>
        <w:rPr/>
      </w:pPr>
      <w:r>
        <w:t xml:space="preserve">Scott Maneely</w:t>
      </w:r>
      <w:r/>
    </w:p>
    <w:p w14:paraId="7F21BF3E" w14:textId="77777777">
      <w:pPr>
        <w:pBdr/>
        <w:spacing/>
        <w:ind/>
        <w:rPr/>
      </w:pPr>
      <w:r/>
      <w:r/>
    </w:p>
    <w:p w14:paraId="2DC2487D" w14:textId="77777777">
      <w:pPr>
        <w:pBdr/>
        <w:spacing/>
        <w:ind/>
        <w:rPr/>
      </w:pPr>
      <w:r/>
      <w:r/>
    </w:p>
    <w:sectPr>
      <w:headerReference w:type="default" r:id="rId9"/>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F346325" w14:textId="77777777">
      <w:pPr>
        <w:pBdr/>
        <w:spacing w:after="0" w:line="240" w:lineRule="auto"/>
        <w:ind/>
        <w:rPr/>
      </w:pPr>
      <w:r>
        <w:separator/>
      </w:r>
      <w:r/>
    </w:p>
  </w:endnote>
  <w:endnote w:type="continuationSeparator" w:id="0">
    <w:p w14:paraId="204309C9"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F8D60C9" w14:textId="77777777">
      <w:pPr>
        <w:pBdr/>
        <w:spacing w:after="0" w:line="240" w:lineRule="auto"/>
        <w:ind/>
        <w:rPr/>
      </w:pPr>
      <w:r>
        <w:separator/>
      </w:r>
      <w:r/>
    </w:p>
  </w:footnote>
  <w:footnote w:type="continuationSeparator" w:id="0">
    <w:p w14:paraId="0BC8B7A8"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451DFF0" w14:textId="23B2F03F">
    <w:pPr>
      <w:pBdr/>
      <w:spacing/>
      <w:ind/>
      <w:jc w:val="center"/>
      <w:rPr>
        <w:u w:val="single"/>
      </w:rPr>
    </w:pPr>
    <w:r>
      <w:rPr>
        <w:u w:val="single"/>
      </w:rPr>
      <w:t xml:space="preserve">Team α: Assumptions Document</w:t>
    </w:r>
    <w:r>
      <w:rPr>
        <w:u w:val="single"/>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DB1AC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1388711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1FBA64E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292C2C6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29C80AB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415D422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4A9576B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515A35D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594C0E7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5B9B155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5E8025D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68D21CD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6CDC132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7BEB4A4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4"/>
  </w:num>
  <w:num w:numId="2">
    <w:abstractNumId w:val="3"/>
  </w:num>
  <w:num w:numId="3">
    <w:abstractNumId w:val="9"/>
  </w:num>
  <w:num w:numId="4">
    <w:abstractNumId w:val="12"/>
  </w:num>
  <w:num w:numId="5">
    <w:abstractNumId w:val="13"/>
  </w:num>
  <w:num w:numId="6">
    <w:abstractNumId w:val="6"/>
  </w:num>
  <w:num w:numId="7">
    <w:abstractNumId w:val="5"/>
  </w:num>
  <w:num w:numId="8">
    <w:abstractNumId w:val="11"/>
  </w:num>
  <w:num w:numId="9">
    <w:abstractNumId w:val="8"/>
  </w:num>
  <w:num w:numId="10">
    <w:abstractNumId w:val="1"/>
  </w:num>
  <w:num w:numId="11">
    <w:abstractNumId w:val="0"/>
  </w:num>
  <w:num w:numId="12">
    <w:abstractNumId w:val="2"/>
  </w:num>
  <w:num w:numId="13">
    <w:abstractNumId w:val="7"/>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GB"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5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5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5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5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5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5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5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5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5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5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5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5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5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5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5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5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5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5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5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5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5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5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5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5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5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5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5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5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5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5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5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5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5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5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5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5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5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5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5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5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5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5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5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5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5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5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5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5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5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5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5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5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5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5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5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5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5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5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5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5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5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5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5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5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5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5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5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5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5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5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5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5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5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5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5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5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5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5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5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5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5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5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5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5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5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5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75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75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75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75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75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7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5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5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5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5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5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5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5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5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5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5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5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5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5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5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741"/>
    <w:uiPriority w:val="1"/>
    <w:qFormat/>
    <w:pPr>
      <w:pBdr/>
      <w:spacing w:after="0" w:line="240" w:lineRule="auto"/>
      <w:ind/>
    </w:pPr>
  </w:style>
  <w:style w:type="character" w:styleId="171">
    <w:name w:val="Subtle Emphasis"/>
    <w:basedOn w:val="751"/>
    <w:uiPriority w:val="19"/>
    <w:qFormat/>
    <w:pPr>
      <w:pBdr/>
      <w:spacing/>
      <w:ind/>
    </w:pPr>
    <w:rPr>
      <w:i/>
      <w:iCs/>
      <w:color w:val="404040" w:themeColor="text1" w:themeTint="BF"/>
    </w:rPr>
  </w:style>
  <w:style w:type="character" w:styleId="172">
    <w:name w:val="Emphasis"/>
    <w:basedOn w:val="751"/>
    <w:uiPriority w:val="20"/>
    <w:qFormat/>
    <w:pPr>
      <w:pBdr/>
      <w:spacing/>
      <w:ind/>
    </w:pPr>
    <w:rPr>
      <w:i/>
      <w:iCs/>
    </w:rPr>
  </w:style>
  <w:style w:type="character" w:styleId="173">
    <w:name w:val="Strong"/>
    <w:basedOn w:val="751"/>
    <w:uiPriority w:val="22"/>
    <w:qFormat/>
    <w:pPr>
      <w:pBdr/>
      <w:spacing/>
      <w:ind/>
    </w:pPr>
    <w:rPr>
      <w:b/>
      <w:bCs/>
    </w:rPr>
  </w:style>
  <w:style w:type="character" w:styleId="174">
    <w:name w:val="Subtle Reference"/>
    <w:basedOn w:val="751"/>
    <w:uiPriority w:val="31"/>
    <w:qFormat/>
    <w:pPr>
      <w:pBdr/>
      <w:spacing/>
      <w:ind/>
    </w:pPr>
    <w:rPr>
      <w:smallCaps/>
      <w:color w:val="5a5a5a" w:themeColor="text1" w:themeTint="A5"/>
    </w:rPr>
  </w:style>
  <w:style w:type="character" w:styleId="175">
    <w:name w:val="Book Title"/>
    <w:basedOn w:val="751"/>
    <w:uiPriority w:val="33"/>
    <w:qFormat/>
    <w:pPr>
      <w:pBdr/>
      <w:spacing/>
      <w:ind/>
    </w:pPr>
    <w:rPr>
      <w:b/>
      <w:bCs/>
      <w:i/>
      <w:iCs/>
      <w:spacing w:val="5"/>
    </w:rPr>
  </w:style>
  <w:style w:type="paragraph" w:styleId="180">
    <w:name w:val="Caption"/>
    <w:basedOn w:val="741"/>
    <w:next w:val="741"/>
    <w:uiPriority w:val="35"/>
    <w:unhideWhenUsed/>
    <w:qFormat/>
    <w:pPr>
      <w:pBdr/>
      <w:spacing w:after="200" w:line="240" w:lineRule="auto"/>
      <w:ind/>
    </w:pPr>
    <w:rPr>
      <w:i/>
      <w:iCs/>
      <w:color w:val="0e2841" w:themeColor="text2"/>
      <w:sz w:val="18"/>
      <w:szCs w:val="18"/>
    </w:rPr>
  </w:style>
  <w:style w:type="paragraph" w:styleId="181">
    <w:name w:val="footnote text"/>
    <w:basedOn w:val="741"/>
    <w:link w:val="182"/>
    <w:uiPriority w:val="99"/>
    <w:semiHidden/>
    <w:unhideWhenUsed/>
    <w:pPr>
      <w:pBdr/>
      <w:spacing w:after="0" w:line="240" w:lineRule="auto"/>
      <w:ind/>
    </w:pPr>
    <w:rPr>
      <w:sz w:val="20"/>
      <w:szCs w:val="20"/>
    </w:rPr>
  </w:style>
  <w:style w:type="character" w:styleId="182">
    <w:name w:val="Footnote Text Char"/>
    <w:basedOn w:val="751"/>
    <w:link w:val="181"/>
    <w:uiPriority w:val="99"/>
    <w:semiHidden/>
    <w:pPr>
      <w:pBdr/>
      <w:spacing/>
      <w:ind/>
    </w:pPr>
    <w:rPr>
      <w:sz w:val="20"/>
      <w:szCs w:val="20"/>
    </w:rPr>
  </w:style>
  <w:style w:type="character" w:styleId="183">
    <w:name w:val="footnote reference"/>
    <w:basedOn w:val="751"/>
    <w:uiPriority w:val="99"/>
    <w:semiHidden/>
    <w:unhideWhenUsed/>
    <w:pPr>
      <w:pBdr/>
      <w:spacing/>
      <w:ind/>
    </w:pPr>
    <w:rPr>
      <w:vertAlign w:val="superscript"/>
    </w:rPr>
  </w:style>
  <w:style w:type="paragraph" w:styleId="184">
    <w:name w:val="endnote text"/>
    <w:basedOn w:val="741"/>
    <w:link w:val="185"/>
    <w:uiPriority w:val="99"/>
    <w:semiHidden/>
    <w:unhideWhenUsed/>
    <w:pPr>
      <w:pBdr/>
      <w:spacing w:after="0" w:line="240" w:lineRule="auto"/>
      <w:ind/>
    </w:pPr>
    <w:rPr>
      <w:sz w:val="20"/>
      <w:szCs w:val="20"/>
    </w:rPr>
  </w:style>
  <w:style w:type="character" w:styleId="185">
    <w:name w:val="Endnote Text Char"/>
    <w:basedOn w:val="751"/>
    <w:link w:val="184"/>
    <w:uiPriority w:val="99"/>
    <w:semiHidden/>
    <w:pPr>
      <w:pBdr/>
      <w:spacing/>
      <w:ind/>
    </w:pPr>
    <w:rPr>
      <w:sz w:val="20"/>
      <w:szCs w:val="20"/>
    </w:rPr>
  </w:style>
  <w:style w:type="character" w:styleId="186">
    <w:name w:val="endnote reference"/>
    <w:basedOn w:val="751"/>
    <w:uiPriority w:val="99"/>
    <w:semiHidden/>
    <w:unhideWhenUsed/>
    <w:pPr>
      <w:pBdr/>
      <w:spacing/>
      <w:ind/>
    </w:pPr>
    <w:rPr>
      <w:vertAlign w:val="superscript"/>
    </w:rPr>
  </w:style>
  <w:style w:type="character" w:styleId="187">
    <w:name w:val="Hyperlink"/>
    <w:basedOn w:val="751"/>
    <w:uiPriority w:val="99"/>
    <w:unhideWhenUsed/>
    <w:pPr>
      <w:pBdr/>
      <w:spacing/>
      <w:ind/>
    </w:pPr>
    <w:rPr>
      <w:color w:val="0563c1" w:themeColor="hyperlink"/>
      <w:u w:val="single"/>
    </w:rPr>
  </w:style>
  <w:style w:type="character" w:styleId="188">
    <w:name w:val="FollowedHyperlink"/>
    <w:basedOn w:val="751"/>
    <w:uiPriority w:val="99"/>
    <w:semiHidden/>
    <w:unhideWhenUsed/>
    <w:pPr>
      <w:pBdr/>
      <w:spacing/>
      <w:ind/>
    </w:pPr>
    <w:rPr>
      <w:color w:val="954f72" w:themeColor="followedHyperlink"/>
      <w:u w:val="single"/>
    </w:rPr>
  </w:style>
  <w:style w:type="paragraph" w:styleId="189">
    <w:name w:val="toc 1"/>
    <w:basedOn w:val="741"/>
    <w:next w:val="741"/>
    <w:uiPriority w:val="39"/>
    <w:unhideWhenUsed/>
    <w:pPr>
      <w:pBdr/>
      <w:spacing w:after="100"/>
      <w:ind/>
    </w:pPr>
  </w:style>
  <w:style w:type="paragraph" w:styleId="190">
    <w:name w:val="toc 2"/>
    <w:basedOn w:val="741"/>
    <w:next w:val="741"/>
    <w:uiPriority w:val="39"/>
    <w:unhideWhenUsed/>
    <w:pPr>
      <w:pBdr/>
      <w:spacing w:after="100"/>
      <w:ind w:left="220"/>
    </w:pPr>
  </w:style>
  <w:style w:type="paragraph" w:styleId="191">
    <w:name w:val="toc 3"/>
    <w:basedOn w:val="741"/>
    <w:next w:val="741"/>
    <w:uiPriority w:val="39"/>
    <w:unhideWhenUsed/>
    <w:pPr>
      <w:pBdr/>
      <w:spacing w:after="100"/>
      <w:ind w:left="440"/>
    </w:pPr>
  </w:style>
  <w:style w:type="paragraph" w:styleId="192">
    <w:name w:val="toc 4"/>
    <w:basedOn w:val="741"/>
    <w:next w:val="741"/>
    <w:uiPriority w:val="39"/>
    <w:unhideWhenUsed/>
    <w:pPr>
      <w:pBdr/>
      <w:spacing w:after="100"/>
      <w:ind w:left="660"/>
    </w:pPr>
  </w:style>
  <w:style w:type="paragraph" w:styleId="193">
    <w:name w:val="toc 5"/>
    <w:basedOn w:val="741"/>
    <w:next w:val="741"/>
    <w:uiPriority w:val="39"/>
    <w:unhideWhenUsed/>
    <w:pPr>
      <w:pBdr/>
      <w:spacing w:after="100"/>
      <w:ind w:left="880"/>
    </w:pPr>
  </w:style>
  <w:style w:type="paragraph" w:styleId="194">
    <w:name w:val="toc 6"/>
    <w:basedOn w:val="741"/>
    <w:next w:val="741"/>
    <w:uiPriority w:val="39"/>
    <w:unhideWhenUsed/>
    <w:pPr>
      <w:pBdr/>
      <w:spacing w:after="100"/>
      <w:ind w:left="1100"/>
    </w:pPr>
  </w:style>
  <w:style w:type="paragraph" w:styleId="195">
    <w:name w:val="toc 7"/>
    <w:basedOn w:val="741"/>
    <w:next w:val="741"/>
    <w:uiPriority w:val="39"/>
    <w:unhideWhenUsed/>
    <w:pPr>
      <w:pBdr/>
      <w:spacing w:after="100"/>
      <w:ind w:left="1320"/>
    </w:pPr>
  </w:style>
  <w:style w:type="paragraph" w:styleId="196">
    <w:name w:val="toc 8"/>
    <w:basedOn w:val="741"/>
    <w:next w:val="741"/>
    <w:uiPriority w:val="39"/>
    <w:unhideWhenUsed/>
    <w:pPr>
      <w:pBdr/>
      <w:spacing w:after="100"/>
      <w:ind w:left="1540"/>
    </w:pPr>
  </w:style>
  <w:style w:type="paragraph" w:styleId="197">
    <w:name w:val="toc 9"/>
    <w:basedOn w:val="741"/>
    <w:next w:val="741"/>
    <w:uiPriority w:val="39"/>
    <w:unhideWhenUsed/>
    <w:pPr>
      <w:pBdr/>
      <w:spacing w:after="100"/>
      <w:ind w:left="1760"/>
    </w:pPr>
  </w:style>
  <w:style w:type="character" w:styleId="198">
    <w:name w:val="Placeholder Text"/>
    <w:basedOn w:val="751"/>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41"/>
    <w:next w:val="741"/>
    <w:uiPriority w:val="99"/>
    <w:unhideWhenUsed/>
    <w:pPr>
      <w:pBdr/>
      <w:spacing w:after="0" w:afterAutospacing="0"/>
      <w:ind/>
    </w:pPr>
  </w:style>
  <w:style w:type="paragraph" w:styleId="741" w:default="1">
    <w:name w:val="Normal"/>
    <w:qFormat/>
    <w:pPr>
      <w:pBdr/>
      <w:spacing/>
      <w:ind/>
    </w:pPr>
  </w:style>
  <w:style w:type="paragraph" w:styleId="742">
    <w:name w:val="Heading 1"/>
    <w:basedOn w:val="741"/>
    <w:next w:val="741"/>
    <w:link w:val="754"/>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43">
    <w:name w:val="Heading 2"/>
    <w:basedOn w:val="741"/>
    <w:next w:val="741"/>
    <w:link w:val="755"/>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44">
    <w:name w:val="Heading 3"/>
    <w:basedOn w:val="741"/>
    <w:next w:val="741"/>
    <w:link w:val="756"/>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45">
    <w:name w:val="Heading 4"/>
    <w:basedOn w:val="741"/>
    <w:next w:val="741"/>
    <w:link w:val="757"/>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46">
    <w:name w:val="Heading 5"/>
    <w:basedOn w:val="741"/>
    <w:next w:val="741"/>
    <w:link w:val="758"/>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47">
    <w:name w:val="Heading 6"/>
    <w:basedOn w:val="741"/>
    <w:next w:val="741"/>
    <w:link w:val="759"/>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48">
    <w:name w:val="Heading 7"/>
    <w:basedOn w:val="741"/>
    <w:next w:val="741"/>
    <w:link w:val="760"/>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49">
    <w:name w:val="Heading 8"/>
    <w:basedOn w:val="741"/>
    <w:next w:val="741"/>
    <w:link w:val="761"/>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50">
    <w:name w:val="Heading 9"/>
    <w:basedOn w:val="741"/>
    <w:next w:val="741"/>
    <w:link w:val="762"/>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51" w:default="1">
    <w:name w:val="Default Paragraph Font"/>
    <w:uiPriority w:val="1"/>
    <w:unhideWhenUsed/>
    <w:pPr>
      <w:pBdr/>
      <w:spacing/>
      <w:ind/>
    </w:pPr>
  </w:style>
  <w:style w:type="table" w:styleId="75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53" w:default="1">
    <w:name w:val="No List"/>
    <w:uiPriority w:val="99"/>
    <w:semiHidden/>
    <w:unhideWhenUsed/>
    <w:pPr>
      <w:pBdr/>
      <w:spacing/>
      <w:ind/>
    </w:pPr>
  </w:style>
  <w:style w:type="character" w:styleId="754" w:customStyle="1">
    <w:name w:val="Heading 1 Char"/>
    <w:basedOn w:val="751"/>
    <w:link w:val="742"/>
    <w:uiPriority w:val="9"/>
    <w:pPr>
      <w:pBdr/>
      <w:spacing/>
      <w:ind/>
    </w:pPr>
    <w:rPr>
      <w:rFonts w:asciiTheme="majorHAnsi" w:hAnsiTheme="majorHAnsi" w:eastAsiaTheme="majorEastAsia" w:cstheme="majorBidi"/>
      <w:color w:val="0f4761" w:themeColor="accent1" w:themeShade="BF"/>
      <w:sz w:val="40"/>
      <w:szCs w:val="40"/>
    </w:rPr>
  </w:style>
  <w:style w:type="character" w:styleId="755" w:customStyle="1">
    <w:name w:val="Heading 2 Char"/>
    <w:basedOn w:val="751"/>
    <w:link w:val="743"/>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56" w:customStyle="1">
    <w:name w:val="Heading 3 Char"/>
    <w:basedOn w:val="751"/>
    <w:link w:val="744"/>
    <w:uiPriority w:val="9"/>
    <w:semiHidden/>
    <w:pPr>
      <w:pBdr/>
      <w:spacing/>
      <w:ind/>
    </w:pPr>
    <w:rPr>
      <w:rFonts w:eastAsiaTheme="majorEastAsia" w:cstheme="majorBidi"/>
      <w:color w:val="0f4761" w:themeColor="accent1" w:themeShade="BF"/>
      <w:sz w:val="28"/>
      <w:szCs w:val="28"/>
    </w:rPr>
  </w:style>
  <w:style w:type="character" w:styleId="757" w:customStyle="1">
    <w:name w:val="Heading 4 Char"/>
    <w:basedOn w:val="751"/>
    <w:link w:val="745"/>
    <w:uiPriority w:val="9"/>
    <w:semiHidden/>
    <w:pPr>
      <w:pBdr/>
      <w:spacing/>
      <w:ind/>
    </w:pPr>
    <w:rPr>
      <w:rFonts w:eastAsiaTheme="majorEastAsia" w:cstheme="majorBidi"/>
      <w:i/>
      <w:iCs/>
      <w:color w:val="0f4761" w:themeColor="accent1" w:themeShade="BF"/>
    </w:rPr>
  </w:style>
  <w:style w:type="character" w:styleId="758" w:customStyle="1">
    <w:name w:val="Heading 5 Char"/>
    <w:basedOn w:val="751"/>
    <w:link w:val="746"/>
    <w:uiPriority w:val="9"/>
    <w:semiHidden/>
    <w:pPr>
      <w:pBdr/>
      <w:spacing/>
      <w:ind/>
    </w:pPr>
    <w:rPr>
      <w:rFonts w:eastAsiaTheme="majorEastAsia" w:cstheme="majorBidi"/>
      <w:color w:val="0f4761" w:themeColor="accent1" w:themeShade="BF"/>
    </w:rPr>
  </w:style>
  <w:style w:type="character" w:styleId="759" w:customStyle="1">
    <w:name w:val="Heading 6 Char"/>
    <w:basedOn w:val="751"/>
    <w:link w:val="747"/>
    <w:uiPriority w:val="9"/>
    <w:semiHidden/>
    <w:pPr>
      <w:pBdr/>
      <w:spacing/>
      <w:ind/>
    </w:pPr>
    <w:rPr>
      <w:rFonts w:eastAsiaTheme="majorEastAsia" w:cstheme="majorBidi"/>
      <w:i/>
      <w:iCs/>
      <w:color w:val="595959" w:themeColor="text1" w:themeTint="A6"/>
    </w:rPr>
  </w:style>
  <w:style w:type="character" w:styleId="760" w:customStyle="1">
    <w:name w:val="Heading 7 Char"/>
    <w:basedOn w:val="751"/>
    <w:link w:val="748"/>
    <w:uiPriority w:val="9"/>
    <w:semiHidden/>
    <w:pPr>
      <w:pBdr/>
      <w:spacing/>
      <w:ind/>
    </w:pPr>
    <w:rPr>
      <w:rFonts w:eastAsiaTheme="majorEastAsia" w:cstheme="majorBidi"/>
      <w:color w:val="595959" w:themeColor="text1" w:themeTint="A6"/>
    </w:rPr>
  </w:style>
  <w:style w:type="character" w:styleId="761" w:customStyle="1">
    <w:name w:val="Heading 8 Char"/>
    <w:basedOn w:val="751"/>
    <w:link w:val="749"/>
    <w:uiPriority w:val="9"/>
    <w:semiHidden/>
    <w:pPr>
      <w:pBdr/>
      <w:spacing/>
      <w:ind/>
    </w:pPr>
    <w:rPr>
      <w:rFonts w:eastAsiaTheme="majorEastAsia" w:cstheme="majorBidi"/>
      <w:i/>
      <w:iCs/>
      <w:color w:val="272727" w:themeColor="text1" w:themeTint="D8"/>
    </w:rPr>
  </w:style>
  <w:style w:type="character" w:styleId="762" w:customStyle="1">
    <w:name w:val="Heading 9 Char"/>
    <w:basedOn w:val="751"/>
    <w:link w:val="750"/>
    <w:uiPriority w:val="9"/>
    <w:semiHidden/>
    <w:pPr>
      <w:pBdr/>
      <w:spacing/>
      <w:ind/>
    </w:pPr>
    <w:rPr>
      <w:rFonts w:eastAsiaTheme="majorEastAsia" w:cstheme="majorBidi"/>
      <w:color w:val="272727" w:themeColor="text1" w:themeTint="D8"/>
    </w:rPr>
  </w:style>
  <w:style w:type="paragraph" w:styleId="763">
    <w:name w:val="Title"/>
    <w:basedOn w:val="741"/>
    <w:next w:val="741"/>
    <w:link w:val="764"/>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764" w:customStyle="1">
    <w:name w:val="Title Char"/>
    <w:basedOn w:val="751"/>
    <w:link w:val="763"/>
    <w:uiPriority w:val="10"/>
    <w:pPr>
      <w:pBdr/>
      <w:spacing/>
      <w:ind/>
    </w:pPr>
    <w:rPr>
      <w:rFonts w:asciiTheme="majorHAnsi" w:hAnsiTheme="majorHAnsi" w:eastAsiaTheme="majorEastAsia" w:cstheme="majorBidi"/>
      <w:spacing w:val="-10"/>
      <w:sz w:val="56"/>
      <w:szCs w:val="56"/>
    </w:rPr>
  </w:style>
  <w:style w:type="paragraph" w:styleId="765">
    <w:name w:val="Subtitle"/>
    <w:basedOn w:val="741"/>
    <w:next w:val="741"/>
    <w:link w:val="766"/>
    <w:uiPriority w:val="11"/>
    <w:qFormat/>
    <w:pPr>
      <w:numPr>
        <w:ilvl w:val="1"/>
      </w:numPr>
      <w:pBdr/>
      <w:spacing/>
      <w:ind/>
    </w:pPr>
    <w:rPr>
      <w:rFonts w:eastAsiaTheme="majorEastAsia" w:cstheme="majorBidi"/>
      <w:color w:val="595959" w:themeColor="text1" w:themeTint="A6"/>
      <w:spacing w:val="15"/>
      <w:sz w:val="28"/>
      <w:szCs w:val="28"/>
    </w:rPr>
  </w:style>
  <w:style w:type="character" w:styleId="766" w:customStyle="1">
    <w:name w:val="Subtitle Char"/>
    <w:basedOn w:val="751"/>
    <w:link w:val="765"/>
    <w:uiPriority w:val="11"/>
    <w:pPr>
      <w:pBdr/>
      <w:spacing/>
      <w:ind/>
    </w:pPr>
    <w:rPr>
      <w:rFonts w:eastAsiaTheme="majorEastAsia" w:cstheme="majorBidi"/>
      <w:color w:val="595959" w:themeColor="text1" w:themeTint="A6"/>
      <w:spacing w:val="15"/>
      <w:sz w:val="28"/>
      <w:szCs w:val="28"/>
    </w:rPr>
  </w:style>
  <w:style w:type="paragraph" w:styleId="767">
    <w:name w:val="Quote"/>
    <w:basedOn w:val="741"/>
    <w:next w:val="741"/>
    <w:link w:val="768"/>
    <w:uiPriority w:val="29"/>
    <w:qFormat/>
    <w:pPr>
      <w:pBdr/>
      <w:spacing w:before="160"/>
      <w:ind/>
      <w:jc w:val="center"/>
    </w:pPr>
    <w:rPr>
      <w:i/>
      <w:iCs/>
      <w:color w:val="404040" w:themeColor="text1" w:themeTint="BF"/>
    </w:rPr>
  </w:style>
  <w:style w:type="character" w:styleId="768" w:customStyle="1">
    <w:name w:val="Quote Char"/>
    <w:basedOn w:val="751"/>
    <w:link w:val="767"/>
    <w:uiPriority w:val="29"/>
    <w:pPr>
      <w:pBdr/>
      <w:spacing/>
      <w:ind/>
    </w:pPr>
    <w:rPr>
      <w:i/>
      <w:iCs/>
      <w:color w:val="404040" w:themeColor="text1" w:themeTint="BF"/>
    </w:rPr>
  </w:style>
  <w:style w:type="paragraph" w:styleId="769">
    <w:name w:val="List Paragraph"/>
    <w:basedOn w:val="741"/>
    <w:uiPriority w:val="34"/>
    <w:qFormat/>
    <w:pPr>
      <w:pBdr/>
      <w:spacing/>
      <w:ind w:left="720"/>
      <w:contextualSpacing w:val="true"/>
    </w:pPr>
  </w:style>
  <w:style w:type="character" w:styleId="770">
    <w:name w:val="Intense Emphasis"/>
    <w:basedOn w:val="751"/>
    <w:uiPriority w:val="21"/>
    <w:qFormat/>
    <w:pPr>
      <w:pBdr/>
      <w:spacing/>
      <w:ind/>
    </w:pPr>
    <w:rPr>
      <w:i/>
      <w:iCs/>
      <w:color w:val="0f4761" w:themeColor="accent1" w:themeShade="BF"/>
    </w:rPr>
  </w:style>
  <w:style w:type="paragraph" w:styleId="771">
    <w:name w:val="Intense Quote"/>
    <w:basedOn w:val="741"/>
    <w:next w:val="741"/>
    <w:link w:val="77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772" w:customStyle="1">
    <w:name w:val="Intense Quote Char"/>
    <w:basedOn w:val="751"/>
    <w:link w:val="771"/>
    <w:uiPriority w:val="30"/>
    <w:pPr>
      <w:pBdr/>
      <w:spacing/>
      <w:ind/>
    </w:pPr>
    <w:rPr>
      <w:i/>
      <w:iCs/>
      <w:color w:val="0f4761" w:themeColor="accent1" w:themeShade="BF"/>
    </w:rPr>
  </w:style>
  <w:style w:type="character" w:styleId="773">
    <w:name w:val="Intense Reference"/>
    <w:basedOn w:val="751"/>
    <w:uiPriority w:val="32"/>
    <w:qFormat/>
    <w:pPr>
      <w:pBdr/>
      <w:spacing/>
      <w:ind/>
    </w:pPr>
    <w:rPr>
      <w:b/>
      <w:bCs/>
      <w:smallCaps/>
      <w:color w:val="0f4761" w:themeColor="accent1" w:themeShade="BF"/>
      <w:spacing w:val="5"/>
    </w:rPr>
  </w:style>
  <w:style w:type="paragraph" w:styleId="774">
    <w:name w:val="Header"/>
    <w:basedOn w:val="741"/>
    <w:link w:val="775"/>
    <w:uiPriority w:val="99"/>
    <w:unhideWhenUsed/>
    <w:pPr>
      <w:pBdr/>
      <w:tabs>
        <w:tab w:val="center" w:leader="none" w:pos="4513"/>
        <w:tab w:val="right" w:leader="none" w:pos="9026"/>
      </w:tabs>
      <w:spacing w:after="0" w:line="240" w:lineRule="auto"/>
      <w:ind/>
    </w:pPr>
  </w:style>
  <w:style w:type="character" w:styleId="775" w:customStyle="1">
    <w:name w:val="Header Char"/>
    <w:basedOn w:val="751"/>
    <w:link w:val="774"/>
    <w:uiPriority w:val="99"/>
    <w:pPr>
      <w:pBdr/>
      <w:spacing/>
      <w:ind/>
    </w:pPr>
  </w:style>
  <w:style w:type="paragraph" w:styleId="776">
    <w:name w:val="Footer"/>
    <w:basedOn w:val="741"/>
    <w:link w:val="777"/>
    <w:uiPriority w:val="99"/>
    <w:unhideWhenUsed/>
    <w:pPr>
      <w:pBdr/>
      <w:tabs>
        <w:tab w:val="center" w:leader="none" w:pos="4513"/>
        <w:tab w:val="right" w:leader="none" w:pos="9026"/>
      </w:tabs>
      <w:spacing w:after="0" w:line="240" w:lineRule="auto"/>
      <w:ind/>
    </w:pPr>
  </w:style>
  <w:style w:type="character" w:styleId="777" w:customStyle="1">
    <w:name w:val="Footer Char"/>
    <w:basedOn w:val="751"/>
    <w:link w:val="776"/>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Riaz Husein</dc:creator>
  <cp:keywords/>
  <dc:description/>
  <cp:revision>3</cp:revision>
  <dcterms:created xsi:type="dcterms:W3CDTF">2026-04-21T11:40:00Z</dcterms:created>
  <dcterms:modified xsi:type="dcterms:W3CDTF">2026-04-21T12:32:14Z</dcterms:modified>
</cp:coreProperties>
</file>