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Asana Vendor Performance</w:t>
        <w:br/>
        <w:t>and Invoice Audit</w:t>
      </w:r>
    </w:p>
    <w:p>
      <w:pPr>
        <w:jc w:val="center"/>
      </w:pPr>
      <w:r>
        <w:rPr>
          <w:b/>
          <w:color w:val="2F75B5"/>
          <w:sz w:val="26"/>
        </w:rPr>
        <w:t>Management-requested payment-dispute analysis</w:t>
      </w:r>
    </w:p>
    <w:p>
      <w:pPr>
        <w:jc w:val="center"/>
      </w:pPr>
      <w:r>
        <w:rPr>
          <w:b/>
          <w:color w:val="7F6000"/>
          <w:sz w:val="18"/>
        </w:rPr>
        <w:t>PUBLIC PORTFOLIO VERSION</w:t>
      </w:r>
    </w:p>
    <w:p>
      <w:pPr>
        <w:pStyle w:val="Heading1"/>
      </w:pPr>
      <w:r>
        <w:t>Executive finding</w:t>
      </w:r>
    </w:p>
    <w:p>
      <w:r>
        <w:rPr>
          <w:b/>
        </w:rPr>
        <w:t xml:space="preserve">The vendor claimed that more than $40,000 remained unpaid. </w:t>
      </w:r>
      <w:r>
        <w:t>The evidence review found $0 payable for completed work remained unpaid. The $23,685 classified as denied related to work that was not performed or did not satisfy documented requirements; it was therefore not an unpaid obligation.</w:t>
      </w:r>
    </w:p>
    <w:tbl>
      <w:tblPr>
        <w:tblStyle w:val="TableGrid"/>
        <w:tblW w:type="auto" w:w="0"/>
        <w:tblLook w:firstColumn="1" w:firstRow="1" w:lastColumn="0" w:lastRow="0" w:noHBand="0" w:noVBand="1" w:val="04A0"/>
      </w:tblPr>
      <w:tblGrid>
        <w:gridCol w:w="5040"/>
        <w:gridCol w:w="5040"/>
      </w:tblGrid>
      <w:tr>
        <w:tc>
          <w:tcPr>
            <w:tcW w:type="dxa" w:w="5040"/>
            <w:shd w:fill="2F75B5"/>
          </w:tcPr>
          <w:p>
            <w:r>
              <w:rPr>
                <w:b/>
                <w:color w:val="FFFFFF"/>
              </w:rPr>
              <w:t>Key measure</w:t>
            </w:r>
          </w:p>
        </w:tc>
        <w:tc>
          <w:tcPr>
            <w:tcW w:type="dxa" w:w="5040"/>
            <w:shd w:fill="2F75B5"/>
          </w:tcPr>
          <w:p>
            <w:r>
              <w:rPr>
                <w:b/>
                <w:color w:val="FFFFFF"/>
              </w:rPr>
              <w:t>Finding</w:t>
            </w:r>
          </w:p>
        </w:tc>
      </w:tr>
      <w:tr>
        <w:tc>
          <w:tcPr>
            <w:tcW w:type="dxa" w:w="5040"/>
            <w:vAlign w:val="center"/>
            <w:shd w:fill="EAF3F8"/>
          </w:tcPr>
          <w:p>
            <w:r>
              <w:t>Vendor assertion</w:t>
            </w:r>
          </w:p>
        </w:tc>
        <w:tc>
          <w:tcPr>
            <w:tcW w:type="dxa" w:w="5040"/>
            <w:vAlign w:val="center"/>
          </w:tcPr>
          <w:p>
            <w:r>
              <w:t>More than $40,000 unpaid</w:t>
            </w:r>
          </w:p>
        </w:tc>
      </w:tr>
      <w:tr>
        <w:tc>
          <w:tcPr>
            <w:tcW w:type="dxa" w:w="5040"/>
            <w:vAlign w:val="center"/>
            <w:shd w:fill="EAF3F8"/>
          </w:tcPr>
          <w:p>
            <w:r>
              <w:t>Payable unpaid amount found</w:t>
            </w:r>
          </w:p>
        </w:tc>
        <w:tc>
          <w:tcPr>
            <w:tcW w:type="dxa" w:w="5040"/>
            <w:vAlign w:val="center"/>
          </w:tcPr>
          <w:p>
            <w:r>
              <w:t>$0</w:t>
            </w:r>
          </w:p>
        </w:tc>
      </w:tr>
      <w:tr>
        <w:tc>
          <w:tcPr>
            <w:tcW w:type="dxa" w:w="5040"/>
            <w:vAlign w:val="center"/>
            <w:shd w:fill="EAF3F8"/>
          </w:tcPr>
          <w:p>
            <w:r>
              <w:t>Itemized reported paid</w:t>
            </w:r>
          </w:p>
        </w:tc>
        <w:tc>
          <w:tcPr>
            <w:tcW w:type="dxa" w:w="5040"/>
            <w:vAlign w:val="center"/>
          </w:tcPr>
          <w:p>
            <w:r>
              <w:t>$139,948</w:t>
            </w:r>
          </w:p>
        </w:tc>
      </w:tr>
      <w:tr>
        <w:tc>
          <w:tcPr>
            <w:tcW w:type="dxa" w:w="5040"/>
            <w:vAlign w:val="center"/>
            <w:shd w:fill="EAF3F8"/>
          </w:tcPr>
          <w:p>
            <w:r>
              <w:t>Denied — work not performed / requirements unmet</w:t>
            </w:r>
          </w:p>
        </w:tc>
        <w:tc>
          <w:tcPr>
            <w:tcW w:type="dxa" w:w="5040"/>
            <w:vAlign w:val="center"/>
          </w:tcPr>
          <w:p>
            <w:r>
              <w:t>$23,685</w:t>
            </w:r>
          </w:p>
        </w:tc>
      </w:tr>
      <w:tr>
        <w:tc>
          <w:tcPr>
            <w:tcW w:type="dxa" w:w="5040"/>
            <w:vAlign w:val="center"/>
            <w:shd w:fill="EAF3F8"/>
          </w:tcPr>
          <w:p>
            <w:r>
              <w:t>Itemized total reviewed</w:t>
            </w:r>
          </w:p>
        </w:tc>
        <w:tc>
          <w:tcPr>
            <w:tcW w:type="dxa" w:w="5040"/>
            <w:vAlign w:val="center"/>
          </w:tcPr>
          <w:p>
            <w:r>
              <w:t>$163,633</w:t>
            </w:r>
          </w:p>
        </w:tc>
      </w:tr>
    </w:tbl>
    <w:p>
      <w:pPr>
        <w:pStyle w:val="Heading1"/>
      </w:pPr>
      <w:r>
        <w:t>Project purpose</w:t>
      </w:r>
    </w:p>
    <w:p>
      <w:r>
        <w:t>Management requested a defensible review of a vendor payment dispute. The project organized exported Asana task history, inspection outcomes, completion records, service periods, and itemized financial classifications into a traceable analytical workbook. The goal was to test the vendor's assertion, document the organization's position, and identify records requiring reconciliation.</w:t>
      </w:r>
    </w:p>
    <w:p>
      <w:pPr>
        <w:pStyle w:val="Heading1"/>
      </w:pPr>
      <w:r>
        <w:t>Approach</w:t>
      </w:r>
    </w:p>
    <w:p>
      <w:pPr>
        <w:pStyle w:val="ListBullet"/>
      </w:pPr>
      <w:r>
        <w:t>Standardized the exported Asana task data and separated dated from undated activity.</w:t>
      </w:r>
    </w:p>
    <w:p>
      <w:pPr>
        <w:pStyle w:val="ListBullet"/>
      </w:pPr>
      <w:r>
        <w:t>Measured completion, open work, failed inspections, and status gaps across 147 tasks.</w:t>
      </w:r>
    </w:p>
    <w:p>
      <w:pPr>
        <w:pStyle w:val="ListBullet"/>
      </w:pPr>
      <w:r>
        <w:t>Built an itemized 91-row financial ledger distinguishing reported paid from denied work.</w:t>
      </w:r>
    </w:p>
    <w:p>
      <w:pPr>
        <w:pStyle w:val="ListBullet"/>
      </w:pPr>
      <w:r>
        <w:t>Compared itemized amounts with previously published summaries and documented discrepancies.</w:t>
      </w:r>
    </w:p>
    <w:p>
      <w:pPr>
        <w:pStyle w:val="ListBullet"/>
      </w:pPr>
      <w:r>
        <w:t>Preserved an audit trail while identifying which claims still required confirmation in the authoritative financial system.</w:t>
      </w:r>
    </w:p>
    <w:p>
      <w:pPr>
        <w:pStyle w:val="Heading1"/>
      </w:pPr>
      <w:r>
        <w:t>Operational and data-quality findings</w:t>
      </w:r>
    </w:p>
    <w:tbl>
      <w:tblPr>
        <w:tblStyle w:val="TableGrid"/>
        <w:tblW w:type="auto" w:w="0"/>
        <w:tblLook w:firstColumn="1" w:firstRow="1" w:lastColumn="0" w:lastRow="0" w:noHBand="0" w:noVBand="1" w:val="04A0"/>
      </w:tblPr>
      <w:tblGrid>
        <w:gridCol w:w="3360"/>
        <w:gridCol w:w="3360"/>
        <w:gridCol w:w="3360"/>
      </w:tblGrid>
      <w:tr>
        <w:tc>
          <w:tcPr>
            <w:tcW w:type="dxa" w:w="3360"/>
            <w:shd w:fill="2F75B5"/>
          </w:tcPr>
          <w:p>
            <w:r>
              <w:rPr>
                <w:b/>
                <w:color w:val="FFFFFF"/>
              </w:rPr>
              <w:t>Measure</w:t>
            </w:r>
          </w:p>
        </w:tc>
        <w:tc>
          <w:tcPr>
            <w:tcW w:type="dxa" w:w="3360"/>
            <w:shd w:fill="2F75B5"/>
          </w:tcPr>
          <w:p>
            <w:r>
              <w:rPr>
                <w:b/>
                <w:color w:val="FFFFFF"/>
              </w:rPr>
              <w:t>Result</w:t>
            </w:r>
          </w:p>
        </w:tc>
        <w:tc>
          <w:tcPr>
            <w:tcW w:type="dxa" w:w="3360"/>
            <w:shd w:fill="2F75B5"/>
          </w:tcPr>
          <w:p>
            <w:r>
              <w:rPr>
                <w:b/>
                <w:color w:val="FFFFFF"/>
              </w:rPr>
              <w:t>Meaning</w:t>
            </w:r>
          </w:p>
        </w:tc>
      </w:tr>
      <w:tr>
        <w:tc>
          <w:tcPr>
            <w:tcW w:type="dxa" w:w="3360"/>
            <w:shd w:fill="EAF3F8"/>
          </w:tcPr>
          <w:p>
            <w:r>
              <w:t>Asana tasks</w:t>
            </w:r>
          </w:p>
        </w:tc>
        <w:tc>
          <w:tcPr>
            <w:tcW w:type="dxa" w:w="3360"/>
          </w:tcPr>
          <w:p>
            <w:r>
              <w:t>147</w:t>
            </w:r>
          </w:p>
        </w:tc>
        <w:tc>
          <w:tcPr>
            <w:tcW w:type="dxa" w:w="3360"/>
          </w:tcPr>
          <w:p>
            <w:r>
              <w:t>Portfolio snapshot reviewed</w:t>
            </w:r>
          </w:p>
        </w:tc>
      </w:tr>
      <w:tr>
        <w:tc>
          <w:tcPr>
            <w:tcW w:type="dxa" w:w="3360"/>
            <w:shd w:fill="EAF3F8"/>
          </w:tcPr>
          <w:p>
            <w:r>
              <w:t>Completed / open</w:t>
            </w:r>
          </w:p>
        </w:tc>
        <w:tc>
          <w:tcPr>
            <w:tcW w:type="dxa" w:w="3360"/>
          </w:tcPr>
          <w:p>
            <w:r>
              <w:t>124 / 23</w:t>
            </w:r>
          </w:p>
        </w:tc>
        <w:tc>
          <w:tcPr>
            <w:tcW w:type="dxa" w:w="3360"/>
          </w:tcPr>
          <w:p>
            <w:r>
              <w:t>Operational workload status</w:t>
            </w:r>
          </w:p>
        </w:tc>
      </w:tr>
      <w:tr>
        <w:tc>
          <w:tcPr>
            <w:tcW w:type="dxa" w:w="3360"/>
            <w:shd w:fill="EAF3F8"/>
          </w:tcPr>
          <w:p>
            <w:r>
              <w:t>Failed inspection</w:t>
            </w:r>
          </w:p>
        </w:tc>
        <w:tc>
          <w:tcPr>
            <w:tcW w:type="dxa" w:w="3360"/>
          </w:tcPr>
          <w:p>
            <w:r>
              <w:t>45</w:t>
            </w:r>
          </w:p>
        </w:tc>
        <w:tc>
          <w:tcPr>
            <w:tcW w:type="dxa" w:w="3360"/>
          </w:tcPr>
          <w:p>
            <w:r>
              <w:t>Documented performance concern</w:t>
            </w:r>
          </w:p>
        </w:tc>
      </w:tr>
      <w:tr>
        <w:tc>
          <w:tcPr>
            <w:tcW w:type="dxa" w:w="3360"/>
            <w:shd w:fill="EAF3F8"/>
          </w:tcPr>
          <w:p>
            <w:r>
              <w:t>Undated tasks</w:t>
            </w:r>
          </w:p>
        </w:tc>
        <w:tc>
          <w:tcPr>
            <w:tcW w:type="dxa" w:w="3360"/>
          </w:tcPr>
          <w:p>
            <w:r>
              <w:t>21</w:t>
            </w:r>
          </w:p>
        </w:tc>
        <w:tc>
          <w:tcPr>
            <w:tcW w:type="dxa" w:w="3360"/>
          </w:tcPr>
          <w:p>
            <w:r>
              <w:t>Cannot be assigned reliably to a service month</w:t>
            </w:r>
          </w:p>
        </w:tc>
      </w:tr>
      <w:tr>
        <w:tc>
          <w:tcPr>
            <w:tcW w:type="dxa" w:w="3360"/>
            <w:shd w:fill="EAF3F8"/>
          </w:tcPr>
          <w:p>
            <w:r>
              <w:t>Tasks without status</w:t>
            </w:r>
          </w:p>
        </w:tc>
        <w:tc>
          <w:tcPr>
            <w:tcW w:type="dxa" w:w="3360"/>
          </w:tcPr>
          <w:p>
            <w:r>
              <w:t>57</w:t>
            </w:r>
          </w:p>
        </w:tc>
        <w:tc>
          <w:tcPr>
            <w:tcW w:type="dxa" w:w="3360"/>
          </w:tcPr>
          <w:p>
            <w:r>
              <w:t>Outcome cannot be inferred</w:t>
            </w:r>
          </w:p>
        </w:tc>
      </w:tr>
      <w:tr>
        <w:tc>
          <w:tcPr>
            <w:tcW w:type="dxa" w:w="3360"/>
            <w:shd w:fill="EAF3F8"/>
          </w:tcPr>
          <w:p>
            <w:r>
              <w:t>Paid-summary variance</w:t>
            </w:r>
          </w:p>
        </w:tc>
        <w:tc>
          <w:tcPr>
            <w:tcW w:type="dxa" w:w="3360"/>
          </w:tcPr>
          <w:p>
            <w:r>
              <w:t>$12,208</w:t>
            </w:r>
          </w:p>
        </w:tc>
        <w:tc>
          <w:tcPr>
            <w:tcW w:type="dxa" w:w="3360"/>
          </w:tcPr>
          <w:p>
            <w:r>
              <w:t>Older summary exceeded itemized total</w:t>
            </w:r>
          </w:p>
        </w:tc>
      </w:tr>
      <w:tr>
        <w:tc>
          <w:tcPr>
            <w:tcW w:type="dxa" w:w="3360"/>
            <w:shd w:fill="EAF3F8"/>
          </w:tcPr>
          <w:p>
            <w:r>
              <w:t>Denied-summary variance</w:t>
            </w:r>
          </w:p>
        </w:tc>
        <w:tc>
          <w:tcPr>
            <w:tcW w:type="dxa" w:w="3360"/>
          </w:tcPr>
          <w:p>
            <w:r>
              <w:t>$1,847</w:t>
            </w:r>
          </w:p>
        </w:tc>
        <w:tc>
          <w:tcPr>
            <w:tcW w:type="dxa" w:w="3360"/>
          </w:tcPr>
          <w:p>
            <w:r>
              <w:t>Older summary exceeded itemized total</w:t>
            </w:r>
          </w:p>
        </w:tc>
      </w:tr>
    </w:tbl>
    <w:p>
      <w:pPr>
        <w:pStyle w:val="Heading1"/>
      </w:pPr>
      <w:r>
        <w:t>Conclusion and control point</w:t>
      </w:r>
    </w:p>
    <w:p>
      <w:r>
        <w:t>The analysis supported the organization's position with detailed task and financial evidence: no payable balance was identified for completed work. The review also demonstrated why project-management data should not be treated as a payment ledger. Asana was reliable for operational dates, completion, sections, and inspection history, while final payment certification required reconciliation to the authoritative financial system and underlying invoice documentation.</w:t>
      </w:r>
    </w:p>
    <w:p>
      <w:pPr>
        <w:pStyle w:val="Heading1"/>
      </w:pPr>
      <w:r>
        <w:t>Public portfolio data notice</w:t>
      </w:r>
    </w:p>
    <w:p>
      <w:r>
        <w:t>This repository is a fictionalized portfolio version. Vendor, organization, employee, location, task, invoice, link, and identifying narrative details were replaced. The numerical findings and analytical structure were retained at the user's direction to demonstrate the work accurately without identifying the original parties.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Asana Vendor Performance and Invoice Audit | Fictionalized portfolio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