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2B68E">
      <w:pPr>
        <w:rPr>
          <w:b/>
          <w:bCs/>
        </w:rPr>
      </w:pPr>
      <w:r>
        <w:rPr>
          <w:b/>
          <w:bCs/>
        </w:rPr>
        <w:t>恒星分组（新星座）模型：评估与筛选流程总结</w:t>
      </w:r>
    </w:p>
    <w:p w14:paraId="63926DCE">
      <w:pPr>
        <w:rPr>
          <w:b/>
          <w:bCs/>
        </w:rPr>
      </w:pPr>
      <w:r>
        <w:rPr>
          <w:b/>
          <w:bCs/>
        </w:rPr>
        <w:t>一、核心流程（四阶段）</w:t>
      </w:r>
    </w:p>
    <w:p w14:paraId="038B5A5F">
      <w:pPr>
        <w:rPr>
          <w:b/>
          <w:bCs/>
        </w:rPr>
      </w:pPr>
      <w:r>
        <w:rPr>
          <w:b/>
          <w:bCs/>
        </w:rPr>
        <w:t>1. 初步聚类：基于密度的候选区划分</w:t>
      </w:r>
    </w:p>
    <w:p w14:paraId="14169C85">
      <w:pPr>
        <w:numPr>
          <w:ilvl w:val="0"/>
          <w:numId w:val="1"/>
        </w:numPr>
      </w:pPr>
      <w:r>
        <w:rPr>
          <w:b/>
          <w:bCs/>
        </w:rPr>
        <w:t>目标</w:t>
      </w:r>
      <w:r>
        <w:t>：从二维投影的星图中，自动识别恒星密集区域（潜在星座候选区）。</w:t>
      </w:r>
    </w:p>
    <w:p w14:paraId="427F6206">
      <w:pPr>
        <w:numPr>
          <w:ilvl w:val="0"/>
          <w:numId w:val="1"/>
        </w:numPr>
      </w:pPr>
      <w:r>
        <w:rPr>
          <w:b/>
          <w:bCs/>
        </w:rPr>
        <w:t>算法</w:t>
      </w:r>
      <w:r>
        <w:t>：DBSCAN（密度聚类）。</w:t>
      </w:r>
    </w:p>
    <w:p w14:paraId="2BE05380">
      <w:pPr>
        <w:numPr>
          <w:ilvl w:val="0"/>
          <w:numId w:val="1"/>
        </w:numPr>
      </w:pPr>
      <w:r>
        <w:rPr>
          <w:b/>
          <w:bCs/>
        </w:rPr>
        <w:t>量化指标</w:t>
      </w:r>
      <w:r>
        <w:t>：</w:t>
      </w:r>
    </w:p>
    <w:p w14:paraId="57F02EBD">
      <w:pPr>
        <w:numPr>
          <w:ilvl w:val="1"/>
          <w:numId w:val="1"/>
        </w:numPr>
      </w:pPr>
      <w:r>
        <w:rPr>
          <w:b/>
          <w:bCs/>
        </w:rPr>
        <w:t>距离度量</w:t>
      </w:r>
      <w:r>
        <w:t>：欧几里得距离 </w:t>
      </w:r>
      <w:r>
        <w:rPr>
          <w:i/>
          <w:iCs/>
        </w:rPr>
        <w:t>d</w:t>
      </w:r>
      <w:r>
        <w:t>(</w:t>
      </w:r>
      <w:r>
        <w:rPr>
          <w:i/>
          <w:iCs/>
        </w:rPr>
        <w:t>pi</w:t>
      </w:r>
      <w:r>
        <w:rPr>
          <w:rFonts w:ascii="Times New Roman" w:hAnsi="Times New Roman" w:cs="Times New Roman"/>
        </w:rPr>
        <w:t>​</w:t>
      </w:r>
      <w:r>
        <w:t>,</w:t>
      </w:r>
      <w:r>
        <w:rPr>
          <w:i/>
          <w:iCs/>
        </w:rPr>
        <w:t>pj</w:t>
      </w:r>
      <w:r>
        <w:rPr>
          <w:rFonts w:ascii="Times New Roman" w:hAnsi="Times New Roman" w:cs="Times New Roman"/>
        </w:rPr>
        <w:t>​</w:t>
      </w:r>
      <w:r>
        <w:t>)=(</w:t>
      </w:r>
      <w:r>
        <w:rPr>
          <w:i/>
          <w:iCs/>
        </w:rPr>
        <w:t>xi</w:t>
      </w:r>
      <w:r>
        <w:rPr>
          <w:rFonts w:ascii="Times New Roman" w:hAnsi="Times New Roman" w:cs="Times New Roman"/>
        </w:rPr>
        <w:t>​</w:t>
      </w:r>
      <w:r>
        <w:t>−</w:t>
      </w:r>
      <w:r>
        <w:rPr>
          <w:i/>
          <w:iCs/>
        </w:rPr>
        <w:t>xj</w:t>
      </w:r>
      <w:r>
        <w:rPr>
          <w:rFonts w:ascii="Times New Roman" w:hAnsi="Times New Roman" w:cs="Times New Roman"/>
        </w:rPr>
        <w:t>​</w:t>
      </w:r>
      <w:r>
        <w:t>)2+(</w:t>
      </w:r>
      <w:r>
        <w:rPr>
          <w:i/>
          <w:iCs/>
        </w:rPr>
        <w:t>yi</w:t>
      </w:r>
      <w:r>
        <w:rPr>
          <w:rFonts w:ascii="Times New Roman" w:hAnsi="Times New Roman" w:cs="Times New Roman"/>
        </w:rPr>
        <w:t>​</w:t>
      </w:r>
      <w:r>
        <w:t>−</w:t>
      </w:r>
      <w:r>
        <w:rPr>
          <w:i/>
          <w:iCs/>
        </w:rPr>
        <w:t>yj</w:t>
      </w:r>
      <w:r>
        <w:rPr>
          <w:rFonts w:ascii="Times New Roman" w:hAnsi="Times New Roman" w:cs="Times New Roman"/>
        </w:rPr>
        <w:t>​</w:t>
      </w:r>
      <w:r>
        <w:t>)2</w:t>
      </w:r>
      <w:r>
        <w:rPr>
          <w:rFonts w:ascii="Times New Roman" w:hAnsi="Times New Roman" w:cs="Times New Roman"/>
        </w:rPr>
        <w:t>​</w:t>
      </w:r>
      <w:r>
        <w:t>（描述恒星在投影平面的物理间距）。</w:t>
      </w:r>
    </w:p>
    <w:p w14:paraId="343DEF50">
      <w:pPr>
        <w:numPr>
          <w:ilvl w:val="1"/>
          <w:numId w:val="1"/>
        </w:numPr>
      </w:pPr>
      <w:r>
        <w:rPr>
          <w:b/>
          <w:bCs/>
        </w:rPr>
        <w:t>核心参数</w:t>
      </w:r>
      <w:r>
        <w:t>：</w:t>
      </w:r>
    </w:p>
    <w:p w14:paraId="4712A40F">
      <w:pPr>
        <w:numPr>
          <w:ilvl w:val="2"/>
          <w:numId w:val="2"/>
        </w:numPr>
      </w:pPr>
      <w:r>
        <w:t>邻域半径 </w:t>
      </w:r>
      <w:r>
        <w:rPr>
          <w:rFonts w:hint="eastAsia"/>
        </w:rPr>
        <w:t>epsilon</w:t>
      </w:r>
      <w:r>
        <w:rPr>
          <w:i/>
          <w:iCs/>
        </w:rPr>
        <w:t>ε</w:t>
      </w:r>
      <w:r>
        <w:t>（控制 “密集” 的定义，如设置为 1.5 个满月视直径）；</w:t>
      </w:r>
    </w:p>
    <w:p w14:paraId="312C9EAE">
      <w:pPr>
        <w:numPr>
          <w:ilvl w:val="2"/>
          <w:numId w:val="3"/>
        </w:numPr>
      </w:pPr>
      <w:r>
        <w:t>最小点数 MinPts（形成聚类的最少恒星数，如 MinPts≥4，确保可识别性）。</w:t>
      </w:r>
    </w:p>
    <w:p w14:paraId="17D03AC7">
      <w:pPr>
        <w:numPr>
          <w:ilvl w:val="0"/>
          <w:numId w:val="1"/>
        </w:numPr>
      </w:pPr>
      <w:r>
        <w:rPr>
          <w:b/>
          <w:bCs/>
        </w:rPr>
        <w:t>输出</w:t>
      </w:r>
      <w:r>
        <w:t>：多个恒星密集聚类 </w:t>
      </w:r>
      <w:r>
        <w:rPr>
          <w:i/>
          <w:iCs/>
        </w:rPr>
        <w:t>C</w:t>
      </w:r>
      <w:r>
        <w:t>={</w:t>
      </w:r>
      <w:r>
        <w:rPr>
          <w:i/>
          <w:iCs/>
        </w:rPr>
        <w:t>C</w:t>
      </w:r>
      <w:r>
        <w:t>1</w:t>
      </w:r>
      <w:r>
        <w:rPr>
          <w:rFonts w:ascii="Times New Roman" w:hAnsi="Times New Roman" w:cs="Times New Roman"/>
        </w:rPr>
        <w:t>​</w:t>
      </w:r>
      <w:r>
        <w:t>,</w:t>
      </w:r>
      <w:r>
        <w:rPr>
          <w:i/>
          <w:iCs/>
        </w:rPr>
        <w:t>C</w:t>
      </w:r>
      <w:r>
        <w:t>2</w:t>
      </w:r>
      <w:r>
        <w:rPr>
          <w:rFonts w:ascii="Times New Roman" w:hAnsi="Times New Roman" w:cs="Times New Roman"/>
        </w:rPr>
        <w:t>​</w:t>
      </w:r>
      <w:r>
        <w:t>,...,</w:t>
      </w:r>
      <w:r>
        <w:rPr>
          <w:i/>
          <w:iCs/>
        </w:rPr>
        <w:t>Ck</w:t>
      </w:r>
      <w:r>
        <w:rPr>
          <w:rFonts w:ascii="Times New Roman" w:hAnsi="Times New Roman" w:cs="Times New Roman"/>
        </w:rPr>
        <w:t>​</w:t>
      </w:r>
      <w:r>
        <w:t>}。</w:t>
      </w:r>
    </w:p>
    <w:p w14:paraId="2A6B954C">
      <w:pPr>
        <w:rPr>
          <w:b/>
          <w:bCs/>
        </w:rPr>
      </w:pPr>
      <w:r>
        <w:rPr>
          <w:b/>
          <w:bCs/>
        </w:rPr>
        <w:t>2. 亮度筛选：兼顾整体亮度与梯度</w:t>
      </w:r>
    </w:p>
    <w:p w14:paraId="7C4B5681">
      <w:pPr>
        <w:numPr>
          <w:ilvl w:val="0"/>
          <w:numId w:val="4"/>
        </w:numPr>
      </w:pPr>
      <w:r>
        <w:rPr>
          <w:b/>
          <w:bCs/>
        </w:rPr>
        <w:t>目标</w:t>
      </w:r>
      <w:r>
        <w:t>：从每个候选聚类中筛选出亮度适中、梯度合理的恒星组合（避免过暗或亮度差异过大）。</w:t>
      </w:r>
    </w:p>
    <w:p w14:paraId="71428128">
      <w:pPr>
        <w:numPr>
          <w:ilvl w:val="0"/>
          <w:numId w:val="4"/>
        </w:numPr>
      </w:pPr>
      <w:r>
        <w:rPr>
          <w:b/>
          <w:bCs/>
        </w:rPr>
        <w:t>量化指标</w:t>
      </w:r>
      <w:r>
        <w:t>：</w:t>
      </w:r>
    </w:p>
    <w:p w14:paraId="1F61C3C2">
      <w:pPr>
        <w:numPr>
          <w:ilvl w:val="1"/>
          <w:numId w:val="4"/>
        </w:numPr>
      </w:pPr>
      <w:r>
        <w:rPr>
          <w:b/>
          <w:bCs/>
        </w:rPr>
        <w:t>整体亮度阈值</w:t>
      </w:r>
      <w:r>
        <w:t>：</w:t>
      </w:r>
    </w:p>
    <w:p w14:paraId="049FB66F">
      <w:pPr>
        <w:numPr>
          <w:ilvl w:val="2"/>
          <w:numId w:val="5"/>
        </w:numPr>
      </w:pPr>
      <w:r>
        <w:t>最大允许视星等 </w:t>
      </w:r>
      <w:r>
        <w:rPr>
          <w:i/>
          <w:iCs/>
        </w:rPr>
        <w:t>V</w:t>
      </w:r>
      <w:r>
        <w:t>mag, max</w:t>
      </w:r>
      <w:r>
        <w:rPr>
          <w:rFonts w:ascii="Times New Roman" w:hAnsi="Times New Roman" w:cs="Times New Roman"/>
        </w:rPr>
        <w:t>​</w:t>
      </w:r>
      <w:r>
        <w:t>（如 4.5，确保肉眼可见）；</w:t>
      </w:r>
    </w:p>
    <w:p w14:paraId="7E266257">
      <w:pPr>
        <w:numPr>
          <w:ilvl w:val="2"/>
          <w:numId w:val="6"/>
        </w:numPr>
      </w:pPr>
      <w:r>
        <w:t>参考视星等 </w:t>
      </w:r>
      <w:r>
        <w:rPr>
          <w:i/>
          <w:iCs/>
        </w:rPr>
        <w:t>V</w:t>
      </w:r>
      <w:r>
        <w:t>mag, ref</w:t>
      </w:r>
      <w:r>
        <w:rPr>
          <w:rFonts w:ascii="Times New Roman" w:hAnsi="Times New Roman" w:cs="Times New Roman"/>
        </w:rPr>
        <w:t>​</w:t>
      </w:r>
      <w:r>
        <w:t>（如第二亮星 </w:t>
      </w:r>
      <w:r>
        <w:rPr>
          <w:i/>
          <w:iCs/>
        </w:rPr>
        <w:t>v</w:t>
      </w:r>
      <w:r>
        <w:t>2</w:t>
      </w:r>
      <w:r>
        <w:rPr>
          <w:rFonts w:ascii="Times New Roman" w:hAnsi="Times New Roman" w:cs="Times New Roman"/>
        </w:rPr>
        <w:t>​</w:t>
      </w:r>
      <w:r>
        <w:t>，避免单颗星过亮掩盖其他星）。</w:t>
      </w:r>
    </w:p>
    <w:p w14:paraId="21978F48">
      <w:pPr>
        <w:numPr>
          <w:ilvl w:val="1"/>
          <w:numId w:val="4"/>
        </w:numPr>
      </w:pPr>
      <w:r>
        <w:rPr>
          <w:b/>
          <w:bCs/>
        </w:rPr>
        <w:t>亮度梯度</w:t>
      </w:r>
      <w:r>
        <w:t>：</w:t>
      </w:r>
    </w:p>
    <w:p w14:paraId="4E607161">
      <w:pPr>
        <w:numPr>
          <w:ilvl w:val="2"/>
          <w:numId w:val="7"/>
        </w:numPr>
      </w:pPr>
      <w:r>
        <w:t>相邻恒星视星等差异 </w:t>
      </w:r>
      <w:r>
        <w:rPr>
          <w:i/>
          <w:iCs/>
        </w:rPr>
        <w:t>gj</w:t>
      </w:r>
      <w:r>
        <w:rPr>
          <w:rFonts w:ascii="Times New Roman" w:hAnsi="Times New Roman" w:cs="Times New Roman"/>
        </w:rPr>
        <w:t>​</w:t>
      </w:r>
      <w:r>
        <w:t>=</w:t>
      </w:r>
      <w:r>
        <w:rPr>
          <w:i/>
          <w:iCs/>
        </w:rPr>
        <w:t>vj</w:t>
      </w:r>
      <w:r>
        <w:t>+1</w:t>
      </w:r>
      <w:r>
        <w:rPr>
          <w:rFonts w:ascii="Times New Roman" w:hAnsi="Times New Roman" w:cs="Times New Roman"/>
        </w:rPr>
        <w:t>​</w:t>
      </w:r>
      <w:r>
        <w:t>−</w:t>
      </w:r>
      <w:r>
        <w:rPr>
          <w:i/>
          <w:iCs/>
        </w:rPr>
        <w:t>vj</w:t>
      </w:r>
      <w:r>
        <w:rPr>
          <w:rFonts w:ascii="Times New Roman" w:hAnsi="Times New Roman" w:cs="Times New Roman"/>
        </w:rPr>
        <w:t>​</w:t>
      </w:r>
      <w:r>
        <w:t>（如 </w:t>
      </w:r>
      <w:r>
        <w:rPr>
          <w:i/>
          <w:iCs/>
        </w:rPr>
        <w:t>gj</w:t>
      </w:r>
      <w:r>
        <w:rPr>
          <w:rFonts w:ascii="Times New Roman" w:hAnsi="Times New Roman" w:cs="Times New Roman"/>
        </w:rPr>
        <w:t>​</w:t>
      </w:r>
      <w:r>
        <w:t>≤1.2，确保梯度平滑）；</w:t>
      </w:r>
    </w:p>
    <w:p w14:paraId="64EA873A">
      <w:pPr>
        <w:numPr>
          <w:ilvl w:val="2"/>
          <w:numId w:val="8"/>
        </w:numPr>
      </w:pPr>
      <w:r>
        <w:t>总亮度跨度 </w:t>
      </w:r>
      <w:r>
        <w:rPr>
          <w:i/>
          <w:iCs/>
        </w:rPr>
        <w:t>G</w:t>
      </w:r>
      <w:r>
        <w:t>total</w:t>
      </w:r>
      <w:r>
        <w:rPr>
          <w:rFonts w:ascii="Times New Roman" w:hAnsi="Times New Roman" w:cs="Times New Roman"/>
        </w:rPr>
        <w:t>​</w:t>
      </w:r>
      <w:r>
        <w:t>=</w:t>
      </w:r>
      <w:r>
        <w:rPr>
          <w:i/>
          <w:iCs/>
        </w:rPr>
        <w:t>vm</w:t>
      </w:r>
      <w:r>
        <w:rPr>
          <w:rFonts w:ascii="Times New Roman" w:hAnsi="Times New Roman" w:cs="Times New Roman"/>
        </w:rPr>
        <w:t>​</w:t>
      </w:r>
      <w:r>
        <w:t>−</w:t>
      </w:r>
      <w:r>
        <w:rPr>
          <w:i/>
          <w:iCs/>
        </w:rPr>
        <w:t>v</w:t>
      </w:r>
      <w:r>
        <w:t>1</w:t>
      </w:r>
      <w:r>
        <w:rPr>
          <w:rFonts w:ascii="Times New Roman" w:hAnsi="Times New Roman" w:cs="Times New Roman"/>
        </w:rPr>
        <w:t>​</w:t>
      </w:r>
      <w:r>
        <w:t>（如 </w:t>
      </w:r>
      <w:r>
        <w:rPr>
          <w:i/>
          <w:iCs/>
        </w:rPr>
        <w:t>G</w:t>
      </w:r>
      <w:r>
        <w:t>total</w:t>
      </w:r>
      <w:r>
        <w:rPr>
          <w:rFonts w:ascii="Times New Roman" w:hAnsi="Times New Roman" w:cs="Times New Roman"/>
        </w:rPr>
        <w:t>​</w:t>
      </w:r>
      <w:r>
        <w:t>≤3.0，避免亮度分布过散）。</w:t>
      </w:r>
    </w:p>
    <w:p w14:paraId="1452B8FB">
      <w:pPr>
        <w:numPr>
          <w:ilvl w:val="1"/>
          <w:numId w:val="4"/>
        </w:numPr>
      </w:pPr>
      <w:r>
        <w:rPr>
          <w:b/>
          <w:bCs/>
        </w:rPr>
        <w:t>亮度均匀性</w:t>
      </w:r>
      <w:r>
        <w:t>：</w:t>
      </w:r>
    </w:p>
    <w:p w14:paraId="448F20CB">
      <w:pPr>
        <w:numPr>
          <w:ilvl w:val="2"/>
          <w:numId w:val="9"/>
        </w:numPr>
      </w:pPr>
      <w:r>
        <w:t>照度比 </w:t>
      </w:r>
      <w:r>
        <w:rPr>
          <w:i/>
          <w:iCs/>
        </w:rPr>
        <w:t>R</w:t>
      </w:r>
      <w:r>
        <w:t>uni</w:t>
      </w:r>
      <w:r>
        <w:rPr>
          <w:rFonts w:ascii="Times New Roman" w:hAnsi="Times New Roman" w:cs="Times New Roman"/>
        </w:rPr>
        <w:t>​</w:t>
      </w:r>
      <w:r>
        <w:t>=10−(</w:t>
      </w:r>
      <w:r>
        <w:rPr>
          <w:i/>
          <w:iCs/>
        </w:rPr>
        <w:t>v</w:t>
      </w:r>
      <w:r>
        <w:t>1</w:t>
      </w:r>
      <w:r>
        <w:rPr>
          <w:rFonts w:ascii="Times New Roman" w:hAnsi="Times New Roman" w:cs="Times New Roman"/>
        </w:rPr>
        <w:t>​</w:t>
      </w:r>
      <w:r>
        <w:t>−</w:t>
      </w:r>
      <w:r>
        <w:rPr>
          <w:i/>
          <w:iCs/>
        </w:rPr>
        <w:t>v</w:t>
      </w:r>
      <w:r>
        <w:t>ref</w:t>
      </w:r>
      <w:r>
        <w:rPr>
          <w:rFonts w:ascii="Times New Roman" w:hAnsi="Times New Roman" w:cs="Times New Roman"/>
        </w:rPr>
        <w:t>​</w:t>
      </w:r>
      <w:r>
        <w:t>)/2.5（如 </w:t>
      </w:r>
      <w:r>
        <w:rPr>
          <w:i/>
          <w:iCs/>
        </w:rPr>
        <w:t>R</w:t>
      </w:r>
      <w:r>
        <w:t>uni</w:t>
      </w:r>
      <w:r>
        <w:rPr>
          <w:rFonts w:ascii="Times New Roman" w:hAnsi="Times New Roman" w:cs="Times New Roman"/>
        </w:rPr>
        <w:t>​</w:t>
      </w:r>
      <w:r>
        <w:t>≤4.0，确保最亮星与参考星亮度差距不过大）。</w:t>
      </w:r>
    </w:p>
    <w:p w14:paraId="41E9DAA5">
      <w:pPr>
        <w:numPr>
          <w:ilvl w:val="0"/>
          <w:numId w:val="4"/>
        </w:numPr>
      </w:pPr>
      <w:r>
        <w:rPr>
          <w:b/>
          <w:bCs/>
        </w:rPr>
        <w:t>输出</w:t>
      </w:r>
      <w:r>
        <w:t>：每个聚类中满足亮度条件的恒星子集 </w:t>
      </w:r>
      <w:r>
        <w:rPr>
          <w:i/>
          <w:iCs/>
        </w:rPr>
        <w:t>Si</w:t>
      </w:r>
      <w:r>
        <w:t>′</w:t>
      </w:r>
      <w:r>
        <w:rPr>
          <w:rFonts w:ascii="Times New Roman" w:hAnsi="Times New Roman" w:cs="Times New Roman"/>
        </w:rPr>
        <w:t>​</w:t>
      </w:r>
      <w:r>
        <w:t>。</w:t>
      </w:r>
    </w:p>
    <w:p w14:paraId="4375D00C">
      <w:pPr>
        <w:rPr>
          <w:b/>
          <w:bCs/>
        </w:rPr>
      </w:pPr>
      <w:r>
        <w:rPr>
          <w:b/>
          <w:bCs/>
        </w:rPr>
        <w:t>3. 形态评估：确保几何可识别性</w:t>
      </w:r>
    </w:p>
    <w:p w14:paraId="19BB299D">
      <w:pPr>
        <w:numPr>
          <w:ilvl w:val="0"/>
          <w:numId w:val="10"/>
        </w:numPr>
      </w:pPr>
      <w:r>
        <w:rPr>
          <w:b/>
          <w:bCs/>
        </w:rPr>
        <w:t>目标</w:t>
      </w:r>
      <w:r>
        <w:t>：筛选出具有规则、易记忆几何形态的恒星组合（如三角形、四边形等）。</w:t>
      </w:r>
    </w:p>
    <w:p w14:paraId="3C3829ED">
      <w:pPr>
        <w:numPr>
          <w:ilvl w:val="0"/>
          <w:numId w:val="10"/>
        </w:numPr>
      </w:pPr>
      <w:r>
        <w:rPr>
          <w:b/>
          <w:bCs/>
        </w:rPr>
        <w:t>量化指标</w:t>
      </w:r>
      <w:r>
        <w:t>：</w:t>
      </w:r>
    </w:p>
    <w:p w14:paraId="51AD4449">
      <w:pPr>
        <w:numPr>
          <w:ilvl w:val="1"/>
          <w:numId w:val="10"/>
        </w:numPr>
      </w:pPr>
      <w:r>
        <w:rPr>
          <w:b/>
          <w:bCs/>
        </w:rPr>
        <w:t>紧致度</w:t>
      </w:r>
      <w:r>
        <w:t> </w:t>
      </w:r>
      <w:r>
        <w:rPr>
          <w:i/>
          <w:iCs/>
        </w:rPr>
        <w:t>C</w:t>
      </w:r>
      <w:r>
        <w:t>=</w:t>
      </w:r>
      <w:r>
        <w:rPr>
          <w:i/>
          <w:iCs/>
        </w:rPr>
        <w:t>DD</w:t>
      </w:r>
      <w:r>
        <w:t>avg</w:t>
      </w:r>
      <w:r>
        <w:rPr>
          <w:rFonts w:ascii="Times New Roman" w:hAnsi="Times New Roman" w:cs="Times New Roman"/>
        </w:rPr>
        <w:t>​​</w:t>
      </w:r>
      <w:r>
        <w:t>（</w:t>
      </w:r>
      <w:r>
        <w:rPr>
          <w:i/>
          <w:iCs/>
        </w:rPr>
        <w:t>D</w:t>
      </w:r>
      <w:r>
        <w:t>avg</w:t>
      </w:r>
      <w:r>
        <w:rPr>
          <w:rFonts w:ascii="Times New Roman" w:hAnsi="Times New Roman" w:cs="Times New Roman"/>
        </w:rPr>
        <w:t>​</w:t>
      </w:r>
      <w:r>
        <w:t> 为平均间距，</w:t>
      </w:r>
      <w:r>
        <w:rPr>
          <w:i/>
          <w:iCs/>
        </w:rPr>
        <w:t>D</w:t>
      </w:r>
      <w:r>
        <w:t> 为最大间距，如 </w:t>
      </w:r>
      <w:r>
        <w:rPr>
          <w:i/>
          <w:iCs/>
        </w:rPr>
        <w:t>C</w:t>
      </w:r>
      <w:r>
        <w:t>&gt;0.3，避免过于分散）；</w:t>
      </w:r>
    </w:p>
    <w:p w14:paraId="7F218087">
      <w:pPr>
        <w:numPr>
          <w:ilvl w:val="1"/>
          <w:numId w:val="10"/>
        </w:numPr>
      </w:pPr>
      <w:r>
        <w:rPr>
          <w:b/>
          <w:bCs/>
        </w:rPr>
        <w:t>分散度</w:t>
      </w:r>
      <w:r>
        <w:t> </w:t>
      </w:r>
      <w:r>
        <w:rPr>
          <w:i/>
          <w:iCs/>
        </w:rPr>
        <w:t>D</w:t>
      </w:r>
      <w:r>
        <w:t>=</w:t>
      </w:r>
      <w:r>
        <w:rPr>
          <w:i/>
          <w:iCs/>
        </w:rPr>
        <w:t>A</w:t>
      </w:r>
      <w:r>
        <w:t>circle</w:t>
      </w:r>
      <w:r>
        <w:rPr>
          <w:rFonts w:ascii="Times New Roman" w:hAnsi="Times New Roman" w:cs="Times New Roman"/>
        </w:rPr>
        <w:t>​</w:t>
      </w:r>
      <w:r>
        <w:rPr>
          <w:i/>
          <w:iCs/>
        </w:rPr>
        <w:t>A</w:t>
      </w:r>
      <w:r>
        <w:t>hull</w:t>
      </w:r>
      <w:r>
        <w:rPr>
          <w:rFonts w:ascii="Times New Roman" w:hAnsi="Times New Roman" w:cs="Times New Roman"/>
        </w:rPr>
        <w:t>​​</w:t>
      </w:r>
      <w:r>
        <w:t>（</w:t>
      </w:r>
      <w:r>
        <w:rPr>
          <w:i/>
          <w:iCs/>
        </w:rPr>
        <w:t>A</w:t>
      </w:r>
      <w:r>
        <w:t>hull</w:t>
      </w:r>
      <w:r>
        <w:rPr>
          <w:rFonts w:ascii="Times New Roman" w:hAnsi="Times New Roman" w:cs="Times New Roman"/>
        </w:rPr>
        <w:t>​</w:t>
      </w:r>
      <w:r>
        <w:t> 为凸包面积，</w:t>
      </w:r>
      <w:r>
        <w:rPr>
          <w:i/>
          <w:iCs/>
        </w:rPr>
        <w:t>A</w:t>
      </w:r>
      <w:r>
        <w:t>circle</w:t>
      </w:r>
      <w:r>
        <w:rPr>
          <w:rFonts w:ascii="Times New Roman" w:hAnsi="Times New Roman" w:cs="Times New Roman"/>
        </w:rPr>
        <w:t>​</w:t>
      </w:r>
      <w:r>
        <w:t> 为最小外接圆面积，如 </w:t>
      </w:r>
      <w:r>
        <w:rPr>
          <w:i/>
          <w:iCs/>
        </w:rPr>
        <w:t>D</w:t>
      </w:r>
      <w:r>
        <w:t>&gt;0.4，避免过于扁平）。</w:t>
      </w:r>
    </w:p>
    <w:p w14:paraId="434CBD58">
      <w:pPr>
        <w:numPr>
          <w:ilvl w:val="0"/>
          <w:numId w:val="10"/>
        </w:numPr>
      </w:pPr>
      <w:r>
        <w:rPr>
          <w:b/>
          <w:bCs/>
        </w:rPr>
        <w:t>输出</w:t>
      </w:r>
      <w:r>
        <w:t>：形态合格的候选星座。</w:t>
      </w:r>
    </w:p>
    <w:p w14:paraId="7208AE02">
      <w:pPr>
        <w:rPr>
          <w:b/>
          <w:bCs/>
        </w:rPr>
      </w:pPr>
      <w:r>
        <w:rPr>
          <w:b/>
          <w:bCs/>
        </w:rPr>
        <w:t>4. 分离性校验：避免星座重叠</w:t>
      </w:r>
    </w:p>
    <w:p w14:paraId="52088926">
      <w:pPr>
        <w:numPr>
          <w:ilvl w:val="0"/>
          <w:numId w:val="11"/>
        </w:numPr>
      </w:pPr>
      <w:r>
        <w:rPr>
          <w:b/>
          <w:bCs/>
        </w:rPr>
        <w:t>目标</w:t>
      </w:r>
      <w:r>
        <w:t>：确保</w:t>
      </w:r>
      <w:bookmarkStart w:id="0" w:name="_GoBack"/>
      <w:bookmarkEnd w:id="0"/>
      <w:r>
        <w:t>星座</w:t>
      </w:r>
      <w:r>
        <w:t>之间</w:t>
      </w:r>
      <w:r>
        <w:t>在天球上有足够间距，避免视觉混淆。</w:t>
      </w:r>
    </w:p>
    <w:p w14:paraId="2C824B8D">
      <w:pPr>
        <w:numPr>
          <w:ilvl w:val="0"/>
          <w:numId w:val="11"/>
        </w:numPr>
      </w:pPr>
      <w:r>
        <w:rPr>
          <w:b/>
          <w:bCs/>
        </w:rPr>
        <w:t>量化指标</w:t>
      </w:r>
      <w:r>
        <w:t>：</w:t>
      </w:r>
    </w:p>
    <w:p w14:paraId="1D992469">
      <w:pPr>
        <w:numPr>
          <w:ilvl w:val="1"/>
          <w:numId w:val="11"/>
        </w:numPr>
      </w:pPr>
      <w:r>
        <w:rPr>
          <w:b/>
          <w:bCs/>
        </w:rPr>
        <w:t>星座中心距离</w:t>
      </w:r>
      <w:r>
        <w:t> </w:t>
      </w:r>
      <w:r>
        <w:rPr>
          <w:i/>
          <w:iCs/>
        </w:rPr>
        <w:t>I</w:t>
      </w:r>
      <w:r>
        <w:t>=</w:t>
      </w:r>
      <w:r>
        <w:rPr>
          <w:i/>
          <w:iCs/>
        </w:rPr>
        <w:t>d</w:t>
      </w:r>
      <w:r>
        <w:t>(</w:t>
      </w:r>
      <w:r>
        <w:rPr>
          <w:i/>
          <w:iCs/>
        </w:rPr>
        <w:t>CX</w:t>
      </w:r>
      <w:r>
        <w:rPr>
          <w:rFonts w:ascii="Times New Roman" w:hAnsi="Times New Roman" w:cs="Times New Roman"/>
        </w:rPr>
        <w:t>​</w:t>
      </w:r>
      <w:r>
        <w:t>,</w:t>
      </w:r>
      <w:r>
        <w:rPr>
          <w:i/>
          <w:iCs/>
        </w:rPr>
        <w:t>CY</w:t>
      </w:r>
      <w:r>
        <w:rPr>
          <w:rFonts w:ascii="Times New Roman" w:hAnsi="Times New Roman" w:cs="Times New Roman"/>
        </w:rPr>
        <w:t>​</w:t>
      </w:r>
      <w:r>
        <w:t>)（</w:t>
      </w:r>
      <w:r>
        <w:rPr>
          <w:i/>
          <w:iCs/>
        </w:rPr>
        <w:t>CX</w:t>
      </w:r>
      <w:r>
        <w:rPr>
          <w:rFonts w:ascii="Times New Roman" w:hAnsi="Times New Roman" w:cs="Times New Roman"/>
        </w:rPr>
        <w:t>​</w:t>
      </w:r>
      <w:r>
        <w:t>,</w:t>
      </w:r>
      <w:r>
        <w:rPr>
          <w:i/>
          <w:iCs/>
        </w:rPr>
        <w:t>CY</w:t>
      </w:r>
      <w:r>
        <w:rPr>
          <w:rFonts w:ascii="Times New Roman" w:hAnsi="Times New Roman" w:cs="Times New Roman"/>
        </w:rPr>
        <w:t>​</w:t>
      </w:r>
      <w:r>
        <w:t> 为两个星座的中心坐标，如 </w:t>
      </w:r>
      <w:r>
        <w:rPr>
          <w:i/>
          <w:iCs/>
        </w:rPr>
        <w:t>I</w:t>
      </w:r>
      <w:r>
        <w:t>≥2×</w:t>
      </w:r>
      <w:r>
        <w:rPr>
          <w:i/>
          <w:iCs/>
        </w:rPr>
        <w:t>ε</w:t>
      </w:r>
      <w:r>
        <w:t>，确保物理分离）；</w:t>
      </w:r>
    </w:p>
    <w:p w14:paraId="17168EDD">
      <w:pPr>
        <w:numPr>
          <w:ilvl w:val="1"/>
          <w:numId w:val="11"/>
        </w:numPr>
      </w:pPr>
      <w:r>
        <w:rPr>
          <w:b/>
          <w:bCs/>
        </w:rPr>
        <w:t>边界隔离带</w:t>
      </w:r>
      <w:r>
        <w:t>：星座边界向外扩展 5</w:t>
      </w:r>
      <w:r>
        <w:rPr>
          <w:rFonts w:ascii="Cambria Math" w:hAnsi="Cambria Math" w:cs="Cambria Math"/>
        </w:rPr>
        <w:t>∘</w:t>
      </w:r>
      <w:r>
        <w:t>，不与其他星座边界重叠。</w:t>
      </w:r>
    </w:p>
    <w:p w14:paraId="57736909">
      <w:pPr>
        <w:numPr>
          <w:ilvl w:val="0"/>
          <w:numId w:val="11"/>
        </w:numPr>
      </w:pPr>
      <w:r>
        <w:rPr>
          <w:b/>
          <w:bCs/>
        </w:rPr>
        <w:t>输出</w:t>
      </w:r>
      <w:r>
        <w:t>：最终的 “新星座” 集合。</w:t>
      </w:r>
    </w:p>
    <w:p w14:paraId="01915351">
      <w:pPr>
        <w:rPr>
          <w:b/>
          <w:bCs/>
        </w:rPr>
      </w:pPr>
      <w:r>
        <w:rPr>
          <w:b/>
          <w:bCs/>
        </w:rPr>
        <w:t>二、模型优势</w:t>
      </w:r>
    </w:p>
    <w:p w14:paraId="3F36041F">
      <w:pPr>
        <w:numPr>
          <w:ilvl w:val="0"/>
          <w:numId w:val="12"/>
        </w:numPr>
      </w:pPr>
      <w:r>
        <w:rPr>
          <w:b/>
          <w:bCs/>
        </w:rPr>
        <w:t>量化性强</w:t>
      </w:r>
      <w:r>
        <w:t>：所有筛选和评估步骤均基于明确的数学公式（如距离、梯度、紧致度）和可调节参数（如 </w:t>
      </w:r>
      <w:r>
        <w:rPr>
          <w:i/>
          <w:iCs/>
        </w:rPr>
        <w:t>ε</w:t>
      </w:r>
      <w:r>
        <w:t>,</w:t>
      </w:r>
      <w:r>
        <w:rPr>
          <w:i/>
          <w:iCs/>
        </w:rPr>
        <w:t>V</w:t>
      </w:r>
      <w:r>
        <w:t>mag, max</w:t>
      </w:r>
      <w:r>
        <w:rPr>
          <w:rFonts w:ascii="Times New Roman" w:hAnsi="Times New Roman" w:cs="Times New Roman"/>
        </w:rPr>
        <w:t>​</w:t>
      </w:r>
      <w:r>
        <w:t>），避免主观判断。</w:t>
      </w:r>
    </w:p>
    <w:p w14:paraId="1648EDDC">
      <w:pPr>
        <w:numPr>
          <w:ilvl w:val="0"/>
          <w:numId w:val="12"/>
        </w:numPr>
      </w:pPr>
      <w:r>
        <w:rPr>
          <w:b/>
          <w:bCs/>
        </w:rPr>
        <w:t>可识别性保障</w:t>
      </w:r>
      <w:r>
        <w:t>：通过密度聚类（确保恒星密集）、形态评估（确保几何规则）和亮度筛选（确保亮度适中），使新星座符合肉眼观测的直观感受。</w:t>
      </w:r>
    </w:p>
    <w:p w14:paraId="06D9D2A3">
      <w:pPr>
        <w:numPr>
          <w:ilvl w:val="0"/>
          <w:numId w:val="12"/>
        </w:numPr>
      </w:pPr>
      <w:r>
        <w:rPr>
          <w:b/>
          <w:bCs/>
        </w:rPr>
        <w:t>灵活性高</w:t>
      </w:r>
      <w:r>
        <w:t>：参数可根据观测环境（如城市 / 野外光污染）、用户需求（如初学者 / 进阶观测者）调整。例如，城市中可提高 </w:t>
      </w:r>
      <w:r>
        <w:rPr>
          <w:i/>
          <w:iCs/>
        </w:rPr>
        <w:t>V</w:t>
      </w:r>
      <w:r>
        <w:t>mag, max</w:t>
      </w:r>
      <w:r>
        <w:rPr>
          <w:rFonts w:ascii="Times New Roman" w:hAnsi="Times New Roman" w:cs="Times New Roman"/>
        </w:rPr>
        <w:t>​</w:t>
      </w:r>
      <w:r>
        <w:t>（筛选更亮的星），野外可降低阈值以包含更多暗星。</w:t>
      </w:r>
    </w:p>
    <w:p w14:paraId="6D727627">
      <w:pPr>
        <w:numPr>
          <w:ilvl w:val="0"/>
          <w:numId w:val="12"/>
        </w:numPr>
      </w:pPr>
      <w:r>
        <w:rPr>
          <w:b/>
          <w:bCs/>
        </w:rPr>
        <w:t>实用性突出</w:t>
      </w:r>
      <w:r>
        <w:t>：分离性校验避免星座重叠，亮度梯度评估确保形态清晰，适合实际天文观测和教学应用。</w:t>
      </w:r>
    </w:p>
    <w:p w14:paraId="5B2BA62F">
      <w:pPr>
        <w:numPr>
          <w:ilvl w:val="0"/>
          <w:numId w:val="12"/>
        </w:numPr>
      </w:pPr>
      <w:r>
        <w:rPr>
          <w:b/>
          <w:bCs/>
        </w:rPr>
        <w:t>科学性严谨</w:t>
      </w:r>
      <w:r>
        <w:t>：基于天球投影、视星等物理特性和密度聚类算法，符合天文学数据处理逻辑。</w:t>
      </w:r>
    </w:p>
    <w:p w14:paraId="34934832">
      <w:pPr>
        <w:rPr>
          <w:b/>
          <w:bCs/>
        </w:rPr>
      </w:pPr>
      <w:r>
        <w:rPr>
          <w:b/>
          <w:bCs/>
        </w:rPr>
        <w:t>三、模型不足</w:t>
      </w:r>
    </w:p>
    <w:p w14:paraId="114567F4">
      <w:pPr>
        <w:numPr>
          <w:ilvl w:val="0"/>
          <w:numId w:val="13"/>
        </w:numPr>
      </w:pPr>
      <w:r>
        <w:rPr>
          <w:b/>
          <w:bCs/>
        </w:rPr>
        <w:t>参数敏感性</w:t>
      </w:r>
      <w:r>
        <w:t>：DBSCAN 的 </w:t>
      </w:r>
      <w:r>
        <w:rPr>
          <w:i/>
          <w:iCs/>
        </w:rPr>
        <w:t>ε</w:t>
      </w:r>
      <w:r>
        <w:t> 和 MinPts、亮度筛选的 </w:t>
      </w:r>
      <w:r>
        <w:rPr>
          <w:i/>
          <w:iCs/>
        </w:rPr>
        <w:t>V</w:t>
      </w:r>
      <w:r>
        <w:t>mag, max</w:t>
      </w:r>
      <w:r>
        <w:rPr>
          <w:rFonts w:ascii="Times New Roman" w:hAnsi="Times New Roman" w:cs="Times New Roman"/>
        </w:rPr>
        <w:t>​</w:t>
      </w:r>
      <w:r>
        <w:t> 等参数需手动调整，不同参数组合可能导致聚类结果差异较大，需多次迭代优化。</w:t>
      </w:r>
    </w:p>
    <w:p w14:paraId="2EB1C18D">
      <w:pPr>
        <w:numPr>
          <w:ilvl w:val="0"/>
          <w:numId w:val="13"/>
        </w:numPr>
      </w:pPr>
      <w:r>
        <w:rPr>
          <w:b/>
          <w:bCs/>
        </w:rPr>
        <w:t>计算复杂度高</w:t>
      </w:r>
      <w:r>
        <w:t>：DBSCAN 对大规模星表（如百万级恒星）的计算量较大，凸包面积、中心距离等指标的计算也需消耗较多资源。</w:t>
      </w:r>
    </w:p>
    <w:p w14:paraId="745B03C1">
      <w:pPr>
        <w:numPr>
          <w:ilvl w:val="0"/>
          <w:numId w:val="13"/>
        </w:numPr>
      </w:pPr>
      <w:r>
        <w:rPr>
          <w:b/>
          <w:bCs/>
        </w:rPr>
        <w:t>形态评估局限性</w:t>
      </w:r>
      <w:r>
        <w:t>：当前形态指标（紧致度、分散度）仅能判断 “是否规则”，无法识别特定几何形状（如 “勺子”“三角形”），需额外引入形状匹配算法（如模板匹配）才能实现更精细的形态筛选。</w:t>
      </w:r>
    </w:p>
    <w:p w14:paraId="62ABF288">
      <w:pPr>
        <w:numPr>
          <w:ilvl w:val="0"/>
          <w:numId w:val="13"/>
        </w:numPr>
      </w:pPr>
      <w:r>
        <w:rPr>
          <w:b/>
          <w:bCs/>
        </w:rPr>
        <w:t>依赖投影精度</w:t>
      </w:r>
      <w:r>
        <w:t>：所有计算基于恒星的二维投影，投影过程中的畸变（如 Mollweide 投影的极区拉伸）可能影响距离和形态评估的准确性。</w:t>
      </w:r>
    </w:p>
    <w:p w14:paraId="79842923">
      <w:pPr>
        <w:numPr>
          <w:ilvl w:val="0"/>
          <w:numId w:val="13"/>
        </w:numPr>
      </w:pPr>
      <w:r>
        <w:rPr>
          <w:b/>
          <w:bCs/>
        </w:rPr>
        <w:t>未考虑季节可见性</w:t>
      </w:r>
      <w:r>
        <w:t>：模型未纳入星座的季节可见性（如某些星座仅冬季可见），可能导致部分新星座在实际观测中难以使用，需补充天球坐标与季节的关联分析。</w:t>
      </w:r>
    </w:p>
    <w:p w14:paraId="5E2B2CD5">
      <w:pPr>
        <w:rPr>
          <w:b/>
          <w:bCs/>
        </w:rPr>
      </w:pPr>
      <w:r>
        <w:rPr>
          <w:b/>
          <w:bCs/>
        </w:rPr>
        <w:t>四、改进方向</w:t>
      </w:r>
    </w:p>
    <w:p w14:paraId="3963D0CE">
      <w:pPr>
        <w:numPr>
          <w:ilvl w:val="0"/>
          <w:numId w:val="14"/>
        </w:numPr>
      </w:pPr>
      <w:r>
        <w:rPr>
          <w:b/>
          <w:bCs/>
        </w:rPr>
        <w:t>参数自适应优化</w:t>
      </w:r>
      <w:r>
        <w:t>：引入网格搜索或遗传算法，自动寻找最优参数组合（如 </w:t>
      </w:r>
      <w:r>
        <w:rPr>
          <w:i/>
          <w:iCs/>
        </w:rPr>
        <w:t>ε</w:t>
      </w:r>
      <w:r>
        <w:t>,MinPts），减少手动调整成本。</w:t>
      </w:r>
    </w:p>
    <w:p w14:paraId="454E381E">
      <w:pPr>
        <w:numPr>
          <w:ilvl w:val="0"/>
          <w:numId w:val="14"/>
        </w:numPr>
      </w:pPr>
      <w:r>
        <w:rPr>
          <w:b/>
          <w:bCs/>
        </w:rPr>
        <w:t>形状识别增强</w:t>
      </w:r>
      <w:r>
        <w:t>：结合机器学习（如神经网络）或模板匹配，识别特定几何形态（如 “十字”“弧形”），提升星座的文化和视觉关联性。</w:t>
      </w:r>
    </w:p>
    <w:p w14:paraId="64CBA319">
      <w:pPr>
        <w:numPr>
          <w:ilvl w:val="0"/>
          <w:numId w:val="14"/>
        </w:numPr>
      </w:pPr>
      <w:r>
        <w:rPr>
          <w:b/>
          <w:bCs/>
        </w:rPr>
        <w:t>多维度评估</w:t>
      </w:r>
      <w:r>
        <w:t>：增加季节可见性（如星座上中天时间）、大气消光影响（如低纬度星座的观测优势）等指标，使新星座更符合实际观测场景。</w:t>
      </w:r>
    </w:p>
    <w:p w14:paraId="733CEBDE">
      <w:pPr>
        <w:numPr>
          <w:ilvl w:val="0"/>
          <w:numId w:val="14"/>
        </w:numPr>
      </w:pPr>
      <w:r>
        <w:rPr>
          <w:b/>
          <w:bCs/>
        </w:rPr>
        <w:t>计算效率优化</w:t>
      </w:r>
      <w:r>
        <w:t>：对大规模星表采用分块处理、K-D 树加速距离计算等方法，降低时间复杂度。</w:t>
      </w:r>
    </w:p>
    <w:p w14:paraId="0ED0A1AA">
      <w:pPr>
        <w:rPr>
          <w:rFonts w:hint="eastAsia"/>
        </w:rPr>
      </w:pPr>
    </w:p>
    <w:p w14:paraId="5D67D30F">
      <w:pPr>
        <w:pStyle w:val="30"/>
        <w:rPr>
          <w:rFonts w:hint="eastAsia"/>
        </w:rPr>
      </w:pPr>
    </w:p>
    <w:p w14:paraId="0D7DA3A8">
      <w:pPr>
        <w:rPr>
          <w:rFonts w:hint="eastAsia"/>
        </w:rPr>
      </w:pPr>
    </w:p>
    <w:p w14:paraId="43332649"/>
    <w:p w14:paraId="451F24FF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ptos">
    <w:altName w:val="HarmonyOS Sans S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HarmonyOS Sans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HarmonyOS Sans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armonyOS Sans SC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Noto Serif CJK JP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HarmonyOS Sans"/>
    <w:panose1 w:val="02070309020205020404"/>
    <w:charset w:val="00"/>
    <w:family w:val="modern"/>
    <w:pitch w:val="default"/>
    <w:sig w:usb0="00000000" w:usb1="00000000" w:usb2="00000009" w:usb3="00000000" w:csb0="000001F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DejaVu Math TeX Gyre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等线">
    <w:altName w:val="HarmonyOS Sans SC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8A45E4"/>
    <w:multiLevelType w:val="multilevel"/>
    <w:tmpl w:val="048A45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9160F96"/>
    <w:multiLevelType w:val="multilevel"/>
    <w:tmpl w:val="19160F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B9C5C6F"/>
    <w:multiLevelType w:val="multilevel"/>
    <w:tmpl w:val="1B9C5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BE94D1C"/>
    <w:multiLevelType w:val="multilevel"/>
    <w:tmpl w:val="2BE94D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7B96FDD"/>
    <w:multiLevelType w:val="multilevel"/>
    <w:tmpl w:val="67B96F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8E14E8C"/>
    <w:multiLevelType w:val="multilevel"/>
    <w:tmpl w:val="68E14E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79D21FA"/>
    <w:multiLevelType w:val="multilevel"/>
    <w:tmpl w:val="779D21F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5"/>
  </w:num>
  <w:num w:numId="2">
    <w:abstractNumId w:val="5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3">
    <w:abstractNumId w:val="5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2"/>
  </w:num>
  <w:num w:numId="5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7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8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9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10">
    <w:abstractNumId w:val="3"/>
  </w:num>
  <w:num w:numId="11">
    <w:abstractNumId w:val="4"/>
  </w:num>
  <w:num w:numId="12">
    <w:abstractNumId w:val="0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4EE"/>
    <w:rsid w:val="000B2ABB"/>
    <w:rsid w:val="001670A7"/>
    <w:rsid w:val="001837D9"/>
    <w:rsid w:val="001E37DB"/>
    <w:rsid w:val="003A21BA"/>
    <w:rsid w:val="005064EE"/>
    <w:rsid w:val="00766494"/>
    <w:rsid w:val="00DE5188"/>
    <w:rsid w:val="DF71E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TML Code"/>
    <w:basedOn w:val="1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17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3 字符"/>
    <w:basedOn w:val="14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标题 4 字符"/>
    <w:basedOn w:val="14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标题 5 字符"/>
    <w:basedOn w:val="14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标题 6 字符"/>
    <w:basedOn w:val="14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7 字符"/>
    <w:basedOn w:val="14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4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标题 9 字符"/>
    <w:basedOn w:val="14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4"/>
    <w:link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4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4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287</Words>
  <Characters>1640</Characters>
  <Lines>13</Lines>
  <Paragraphs>3</Paragraphs>
  <TotalTime>75</TotalTime>
  <ScaleCrop>false</ScaleCrop>
  <LinksUpToDate>false</LinksUpToDate>
  <CharactersWithSpaces>1924</CharactersWithSpaces>
  <Application>WPS Office_12.1.3.23541_F1E327BC-269C-435d-A152-05C5408002CA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2025-11-21T12:38:00Z</dcterms:created>
  <dc:creator>Tiger Liu</dc:creator>
  <cp:lastModifiedBy>Tiger Liu</cp:lastModifiedBy>
  <dcterms:modified xsi:type="dcterms:W3CDTF">2025-11-22T08:31:28Z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2052-12.1.3.23541</vt:lpwstr>
  </property>
  <property fmtid="{D5CDD505-2E9C-101B-9397-08002B2CF9AE}" pid="3" name="ICV">
    <vt:lpwstr>7AF5521B7EF427286004216930451024_42</vt:lpwstr>
  </property>
</Properties>
</file>