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30"/>
          <w:szCs w:val="3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30"/>
          <w:szCs w:val="30"/>
          <w:rFonts w:ascii="맑은 고딕" w:eastAsia="맑은 고딕" w:hAnsi="맑은 고딕" w:hint="default"/>
        </w:rPr>
        <w:t xml:space="preserve">오픈소스의 현재 모습-국가별 사용 정도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양이 너무 많아서 일부부분 생략함.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중략된 부분을 보려면 2, 3번 출처에 들어가면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미국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지난 미국 오마바 행정부는 끊임없이 공개SW에 지대한 관심을 표명해왔다. 재임 초기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백악관의 홈페이지를 공개SW CMS인 워드프레스로 개편한 것을 시작으로, 연방조달청 산하의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공공정보화 담당기관인 '18F'를 통해 공공부문의 공개SW 프로젝트 개발을 추진케하면서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공공에서 개발한 SW를 공공, 민간이 함께 공유해 코드 재사용성을 높이고, SW 관리 효율성을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향상시키고자 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733675" cy="25527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www.oss.kr/files/attach/images/100/104/667/5a53a02bbe1dcab1b398a68246572748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52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▲미 연방 각 기관이 보유한 SW개발 코드를 공개하고 있는 code.gov 사이트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대표적으로 code.gov 사이트에서는 현재 소비자 금융 보호국, 노동부 등 13개 기관이 보유한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기술을 공개하고 있으며, 공공 웹사이트의 디자인 가이드라인을 소개하는 U.S. Web Design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Standards 등이 있다.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지난해 8월 백악관이 발표한 연방정부 소스코드 정책에 따르면, 정부기관이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의뢰해 개발한 프로그램은 최소 3년간 코드의 20%를 공개해야 된다고 밝혔으며, 미 정부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관계자는 이러한 조치가 공공 기술의 공유뿐 아니라 협업 문화 자체를 통한 기술 혁신을 위한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것이라고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</w:t>
      </w:r>
      <w:r>
        <w:rPr>
          <w:b w:val="1"/>
          <w:color w:val="272727" w:themeColor="text1" w:themeTint="D8"/>
          <w:position w:val="0"/>
          <w:sz w:val="20"/>
          <w:szCs w:val="20"/>
          <w14:textOutline w14:w="6350" w14:cap="flat" w14:cmpd="sng">
            <w14:solidFill>
              <w14:schemeClr w14:val="bg1"/>
            </w14:solidFill>
            <w14:prstDash w14:val="solid"/>
            <w14:round/>
          </w14:textOutline>
          <w14:shadow w14:blurRad="0" w14:dist="38100" w14:dir="2700000" w14:sx="100000" w14:sy="100000" w14:kx="0" w14:ky="0" w14:algn="ctr">
            <w14:schemeClr w14:val="accent5"/>
          </w14:shadow>
          <w:rFonts w:ascii="맑은 고딕" w:eastAsia="맑은 고딕" w:hAnsi="맑은 고딕" w:hint="default"/>
        </w:rPr>
        <w:t xml:space="preserve"> </w:t>
      </w:r>
      <w:r>
        <w:rPr>
          <w:b w:val="1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“공개SW 기반의 운영체제 전환으로 대학 캠퍼스 컴퓨팅 시스템 구축”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오클라호마대학교(OU)는 2007년 이전까지 대규모로 Solaris를 운영해왔다. 점차 증가하는 유지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보수 비용과 공급업체의 경직성 문제로 타 하드웨어로의 변경을 고려하던 대학은 새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로운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하드웨어로 교체 시 웹사이트부터 시스템까지 캠퍼스 내 모든 컴퓨터에 공개SW 기반의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엔터프라이즈 리눅스 운영체제로 마이그레이션을 통해 상당한 비용 절감 효과와 사용 편의성을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두루 갖춘 유연한 IT 환경을 구축하게 되었다.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91503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ms19/AppData/Roaming/PolarisOffice/ETemp/12732_11205504/fImage7189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독점 하드웨어의 경직성 탈피와 라이선스 비용 절감 요구 증대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(중략)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그러던 중 독점 하드웨어의 경직성을 탈피하고 동시에 라이선스 및 지원 비용감소시킬 수 있는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대체 시스템을 찾아야한다는 필요성을 인식하게 되었다는 것이 오클라호마 대학 IT 부서의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UNIX팀 IT분석가의 설명이다.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3133725" cy="215074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www.oss.kr/oss/images/apply/OklahomaUniv_01_system.jp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0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6"/>
          <w:szCs w:val="16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6"/>
          <w:szCs w:val="16"/>
          <w:shd w:val="clear" w:fill="FFFFFF"/>
          <w:rFonts w:ascii="맑은 고딕" w:eastAsia="맑은 고딕" w:hAnsi="맑은 고딕" w:hint="default"/>
        </w:rPr>
        <w:t xml:space="preserve">▲ 시스템 마이그레이션 구성도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>(중략)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000000" w:themeColor="text1"/>
          <w:position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1"/>
          <w:color w:val="000000" w:themeColor="text1"/>
          <w:position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상당한 비용 절감 효과와 안정성, 사용 편의성 향상 등 강력한 IT환경 실현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>(중략)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또한 대학교인 만큼 학생을 중심으로 IT 부서가 학생에게 제공하는 높은 수준의 IT 서비스와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성능을 민첩하게 지속적으로 유지할 수 있어 사용자의 IT 만족도 높은편이라고 했다.작동을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개시한 이후 슈퍼컴퓨팅 용량이 100배로, 슈퍼컴퓨터 사용자 수는 20배로 증가했다. 그리고 2년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반마다 사용자 기반이 두 배로 증가하고 있다는 것을 보면 제공하는 리소스의 혜택을 누리는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학생과 교수진, 직원 수는 기하급수적으로 증가해왔다고 볼 수 있는 부분이다.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t>독일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독일 뮌헨시 당국의 15,000대에 이르는 업무 PC를 리눅스, 오픈오피스, 파이어폭스 등 공개SW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환경으로 전환한‘LiMux프로젝트’는 유럽에서 처음 시도된 대규모 공개SW 도입사례로 꼽힌다.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2000년대 초반 MS의 서비스 지원 종료에 따른 혼란과 종속성, 보안 문제 등의 우려에서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시작됐던 프로젝트는 당초 계획한 것보다 긴 시간이 소요되었지만 이는 주변 다른 국가들에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공공부문의 공개SW 도입에 대한 중요한 모티브를 제공한 사건이었다.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t>프랑스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프랑스 국립헌병대는 매년 증가하는 IT 소요 비용을 줄이고, 업무 컴퓨팅 인프라를 보다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효과적으로 지원하기 위해 그간 사용해오던 MS 기반 시스템의 사용 적정성을 검토했다. 문제로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지적된 MS 기술에 대한 종속성을 극복하기 위해 2004년 공개SW 기반 PC 업무 환경을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조성하는 프로젝트를 시작한다. 애초엔 MS Office를 OpenOffice, Internet Explore를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Firefox로 전환하는 것이었으나 점차 확대되어 2008년엔 우분투OS의 자체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에디션인‘GendBuntu’로 전환을 시작하게 된다. 이후 2014년 6월 77,000대 PC에 대해 전환을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완료했다. 프랑스 국립헌병대의 사례는 유럽에서 가장 큰 규모의 공개SW 전환 프로젝트로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>꼽힌다.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6"/>
          <w:szCs w:val="26"/>
          <w:shd w:val="clear" w:fill="FFFFFF"/>
          <w:rFonts w:ascii="맑은 고딕" w:eastAsia="맑은 고딕" w:hAnsi="맑은 고딕" w:hint="default"/>
        </w:rPr>
        <w:t>스페인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스페인은 17개 지역으로 나뉘며 각 지역은 중앙 정부의 행정과 교육제도로부터 상당한 독립성을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가지는 특징이 있다. 스페인의 자치 지역의 하나인 에스뜨레마두라는 재정이 풍족하지 못했던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이유로 일찍이 지역 정부 주도의 공개SW 도입을 광범위하게 확산시킨 것이 특징이다.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181100" cy="106489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ms19/AppData/Roaming/PolarisOffice/ETemp/12732_11205504/fImage1253486846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4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2001년 에스뜨레마두라 지방 정부는 지역의 네트워크 인프라를 구축할 당시, MS 윈도우를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선택하기 위해서는 상당히 많은 비용을 부담해야 한다는 사실을 파악했다. 부족한 예산은 IT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자원을 최적화하는 방법을 연구하도록 유인했다. 윈도우를 대체할 수 있는 OS를 고민하던 끝에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리눅스 기반의 지역 맞춤형 OS를 개발하기로 결정한다. 초기 버전은 중소기업에서 개발한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것이었으나 이후 개발과 배포는 전적으로 지방 정부가 담당하게 된다. 이렇게 탄생한 LinEx(또는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gnuLinEx)는 에스뜨레마두라 정부가 학교나 공공 기관의 PC용으로 커스트마이징한 데비안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리눅스 기반의 배포판이다. GNOME을 인터페이스로 하고 Firefox, GIMP, OpenOffice 등 공개SW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애플리케이션으로 구성된다.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에스뜨레마두라 지역의 사례로 발렌시아(Lliurex), 마드리드(Max), 갈리(Galinux), 카탈로니아(Linkat),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카스티야 라만차(Molinux) 등 스페인의 여러 다른 지방 정부에서도 유사한 리눅스 프로젝트가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등장하게 되었다.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LinEx는 수차례 업데이트를 거쳐 LinEx 2013 버전이 최신이며, 더불어 행정, 학교, 공공 보건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기관에서 보다 최적화된 기능을 탑재한 전용 OS를 선보인다.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지역 당국은 2011년 IT 자원을 최적화해 행정 효율성을 추구하기 위한 IT 전략 계획인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‘SysGobEx’프로젝트를 추진하는데 세부 계획에는 공무상의 광범위한 업무 환경을 공개SW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기반으로 전환하는 것도 포함된다. 행정에 필요한 요구사항을 반영한 새로운 리눅스 자체 버전을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개발해 서버 시스템과 업무 PC에 전환을 꾀하게 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2015년 에스뜨레마두라 정부가 밝힌 내용에 따르면, 지역의 초·중학교 PC 6만대와 3만대 이상의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랩톱에 이미 ‘LinEX 2013’을 설치했고, 공공 의료 서비스 기관의 1만 5천대 PC에 맞춤형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배포판인‘LinGobEX’로 전환했다. LinGobEX의 경우 공무상 요구에 맞게 설계돼 범용적으로 활용이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가능하며, 최대 2만 2천대의 행정용 PC도 전환을 진행 중이다. 이는 프랑스에 이어 유럽에서 두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번째로 규모가 큰 행정부문의 데스크톱 마이그레이션이 될 전망이다.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300" w:before="0" w:after="0"/>
        <w:ind w:right="0" w:firstLine="0"/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스페인 정부가 공개SW 활용을 위해 지원하고 있는 비영리 단체인 Cenatic의  최근 발표에서,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스페인은 광범위하게 대안OS로 리눅스 배포판이 사용되고 있다고 한다. 단체는 데스크톱 PC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구성을 공개SW로 전환하게 되면 연간 PC 한 대당 약 5,000 유로가 절감되며, 갈리시아,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발렌시아 등 지방 정부도 공개SW로의 전환을 통해 상당한 예산 절감 효과를 보고 있다고 </w:t>
      </w:r>
      <w:r>
        <w:rPr>
          <w:i w:val="0"/>
          <w:b w:val="0"/>
          <w:color w:val="000000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>밝혔다.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불가리아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불가리아는 최근 가장 진취적으로 공공부분의 공개SW 도입 정책을 발표한 국가 중 하나다.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불가리아 의회는 지난해 7월 모든 공공부문에서 개발하는 SW는 공개SW여야 한다는 법안을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통과시켰다. 이는 미국 정부가 SW를 개발할 때 20% 이상을 공개한다는 목표를 능가하는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조치이다. 이 법안으로 당국은 정부가 개발한 SW 품질 향상, 비용 절감, 공공 투명성이 강화될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것이라고 기대했다.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개정된 법안에 따르면, 공공에서 조달하는 정보시스템 및 전자 서비스는 반드시 아래와 같은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기술적 및 기능적 요구를 반드시 충족해야 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계약 대상이 컴퓨터 프로그램의 개발을 포함할 경우,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a) 컴퓨터 프로그램은 반드시 공개SW로써의 기준을 충족해야 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b) 관련 컴퓨터 프로그램, 소스코드, 인터페이스 디자인, 데이터베이스의 모든 저작권과 권리는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사용, 수정 및 배포의 제한이 없어야 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c) 개발된 프로그램은 관리를 전담하는 기관의 SW저장소에 보관되어야 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법안은 모든 정부 기관들이 리눅스, 리브레오피스로 전환한다거나 MS나 오라클 제품의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소스코드 공개를 요구하는 것은 아니며 기존에 있던 솔루션들은 그것의 라이선스에 따라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유지된다.(다만 공개SW 솔루션의 사용을 권장한다)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정부가 개발한 SW는 공개SW 라이선스가 적용되며, 모두 자유SW 저장소(free software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repository)에 저장된다. 이와 같은 업무를 담당할 조직인 ‘eGovernment Agency’도 발족하는데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저장소 구축뿐 아니라 코드 개발 빈도, 공개SW 개발을 통합하는 방법과 같은 SW개발 모범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사례도 연구한다. 우선 지난해 12월 GitHub 페이지(https://github.com/governmentbg)를 먼저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오픈했고 추후 구축될 저장소와 미러링될 것이다. 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295525" cy="131381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ms19/AppData/Roaming/PolarisOffice/ETemp/12732_11205504/fImage12953494633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13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▲현재 GitHub에는 15개의 프로젝트가 공개돼 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불가리아 당국의 법안은 정부가 필요에 의해 개발한 SW를 누구나 볼 수 있고 접근이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가능하다는 것을 의미한다. 정부 관계자는 국민들의 세금으로 개발된 것이기에 어쨌든 당연히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국민이 볼 수 있고 그것으로부터 이익을 얻을 수 있게 되어야 한다고 강조한다.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러시아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냉전의 시대는 끝이 났음에도 여전히 러시아와 미국 간 견제는 계속된다. 러시아 정부의 서방 IT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기술에 대한 뿌리 깊은 불신과 염려는 미국의 전 CIA 소속 에드워드 스노든이 NSA의 불법 도청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및 감청 폭로로 인해 더욱 가중된 듯하다.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강력한 리더쉽을 발휘하고 있는 러시아의 블라디미르 푸틴 대통령은 이전부터 리눅스 사용을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확대하자는 주장을 피력해 왔다. 최근 러시아 의회 듀마(Duma)는 정부 기관이 조달 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공개SW에 우선권을 부여해 상용SW를 구매를 제한하는 법안의 초안을 준비 중이라고 밝혔다.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이는 그간 푸틴 정부가 주장한 온 SW주권 그러니까, 해외 거대 IT 기업에 라이선스 및 SW 구매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비용 등에 따른 자본의 국외 유출을 막고, 정보 보안 강화해 SW 경쟁력을 확보하기 위한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구체적인 조치이다.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지방 정부도 발빠르게 대응하고 있는 가운데 수도 모스크바시는 푸틴 대통령의 디지털 주권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요청에 대한 화답으로 MS Outlook을 버리고 이를 자국SW로 대체할 예정이라고 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MyOffice라 불리는 SW는 모스크바시 공무원들이 사용하는 컴퓨터 6천대에 설치되며 현재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사용하는 MS(MSFT, Tech30)의 이메일 서비스를 대체하게 된다. MyOffice는 러시아 기업이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개발했으며, 향후 60만 명의 시 공무원 PC 전부 사용하게 된다. 새로운 법안은 공공 기관과 국영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기업이 외산SW를 구매하기 전에 유사 기능의 국내 제품에 대한 존재 유무를 먼저 확인하는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조항도 포함하고 있어 30억 달러 규모의 조달 시장의 오라클, MS 등 외산 기술에 대한 의존도를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차단함으로써 자국 SW 시장 성장도 기대할 것으로 내다봤다. 러시아 정부 관계자는 이미 일부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지방 정부에서는 MS 윈도우, 오라클 DB를 공개SW기반으로 전환을 시작했다고 밝혔다.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또 지난해 12월 당국은 정부의 공식 모바일 OS 개발을 위해 핀란드 기업 욜라(Jolla)가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개발한‘세일피시(Sailfish) OS’를 선택한다고 발표했다. 2015년 기준 시장점유율 약 95%를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차지하고 있는 안드로이드나 iOS를 자국산 모바일OS로 대체해 향후 이들의 비중을 2025년까지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50%선으로 줄인다는 계획이다.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중국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중국 정부는 자국의 중요한 정보를 보호하고 해외 IT거대 기업에 대항할 수 있는 IT 생태계를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조성하기 위해서는 가장 기초적인 SW인 OS를 제어해야 된다고 보고 오랜 기간에 걸쳐 OS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개발에 공을 들이면서 완성도를 높여왔다. 개발 노력과 함께 실질적인 활용에도 적극적인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모습이다. 최근 자국OS의 활용이 빠르게 확산되는 추세로 데스크톱뿐 아니라 모바일, 서버,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임베디드, IoT 등 전 영역에 이른다.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중국의 운영체제 Kylin은 2001년 처음 등장했다. FreeBSD를 기반으로 하며 국방과학기술대학이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공공기관에서 사용할 목적으로 개발했으나 완성도나 호환성이 떨어져 확산에 이르진 못했다.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이후 출시한 3.0 버전은 국방과학기술대학과 중국표준소프트웨어사가 합작 개발한 리눅스 커널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기반인 NeoKylin OS를 선보인다.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238750" cy="274701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ms19/AppData/Roaming/PolarisOffice/ETemp/12732_11205504/fImage26968101650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7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▲ 데스크톱용 Ubuntu Kylin 16.04 화면. 중국 날씨 정보, Sogou 중국어 입력기, 킹소프트의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오피스 스위트를 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포함하며 우분투 Kylin 커뮤니티가 그래픽 패키지를 제공한다.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2013년 우분투를 기반으로 한 프로젝트인 Ubuntu Kylin 13.04 버전도 릴리즈했다. 영국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캐로니컬사, 국방과학기술대학, 우분투 Kylin 커뮤니티가 합작해 만들었다. 현재 Ubuntu Kylin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16.04 버전이 최신이며 MS 오피스를 대체할 수 있는 우분투 기린용 킹소프트 'WPS 오피스',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웹브라우저 진산 '례바오', 치후360 '360 브라우저', 알리바바그룹 'UC브라우저' 등이 있어 우분투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키린의 생태계 구축에 민간도 적극적이다.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중국은 행정용 PC의 윈도우8을 금지했으며, 퀄컴사도 반독점과 관련해 과징금 폭탄을 맞는 등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해외 IT 기업에 대한 강도 높은 제재를 취하고 있다. 북쪽에 자리한 쓰핑시는 2014년 행정용 PC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MS 윈도우를 NeoKylin으로 전환하고 다른 지역에도 이와 같은 조치를 확대할 계획이다. 또 중국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시장에 진출한 글로벌 IT기업들도 정부의 입장을 수용하는 가운데 미국 Dell사는 향후 중국에서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판매하는 PC 42% 분량에 대해 NeoKylin을 탑재할 예정이라고 밝혔다. 현재 중국내 MS 사용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비중은 95%이상을 차지하고 있지만 중국 정부의 자국OS 보급 노력이 지속된다면 점유율도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빠르게 성장할 것으로 보고 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또한 중국 정부는 2014년 스마트폰 OS인 COS(China Operating System)를 발표한 바 있다. 중국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정부 산하 중국과학아카데미소프트웨어 연구소(ISCAS)가 리눅스를 기반으로 개발한 ‘중국 정부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공식 OS’이다. 야심차게 출시했으나 현재로선 이렇다 할 확산 성과는 없다. 그러나 자국 IT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기업들이 자체 개발한 OS는 좋은 성적을 거두고 있다. 대표적으로 알리바바가 독자적으로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리눅스를 기반해 개발한 모바일 OS인 '윈OS'를 탑재한 스마트폰이 안드로이드에 이어 모바일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OS 2위로 등극했다.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6"/>
          <w:szCs w:val="26"/>
          <w:rFonts w:ascii="맑은 고딕" w:eastAsia="맑은 고딕" w:hAnsi="맑은 고딕" w:hint="default"/>
        </w:rPr>
        <w:t>일본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KVM 가상화 기술을 활용한 일본 수퍼마켓 체인의 고객 서비스 향상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일본의 대형 소매업체인 Daiei사는 다양해지는 고객층의 라이프스타일에 맞춘 서비스를 제공하기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위해 주문 프로세스를 개선하기로 결정하고 새로운 시스템 구축에 비용과 시간을 절감하며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운용효율성을 높이기 위한 방법으로 KVM(Kernel-based Virtual Machine) 가상화 기술 도입하기에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이르렀다. 결과적으로 고객 주문 프로세스가 간소화되고 배송 리드타임이 줄어들었으며 성공적인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가상화 인프라로 운영효율성과 비용 절감을 충족할 수 있게 되었다.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84582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ms19/AppData/Roaming/PolarisOffice/ETemp/12732_11205504/fImage6409104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Daiei사는 일본에서 큰 규모의 슈퍼마켓 체인 중 하나이다.현재 Daiei의 이름뿐만 아니라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자회사를 통해 3,000개 이상의 매장을 운영중으로 식료품, 다이 전자 제품, 가구 및 옷 등을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취급하며 순 매출액의 측면에서 일본 최대의 소매업체로 널리 알려져 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066800" cy="1143000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ttp://www.oss.kr/oss/images/apply/daiei_logo.jp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기존 주문 프로세스를 개선하기 위한 고객 서비스 제공 고민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고객과 지역 커뮤니티를 "인생 솔루션 파트너"로 보고 있는 Daiei사는 새로운 매장 형식, 소매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기회, 점점 다양해지는 고객층의 라이프스타일에 맞춘 서비스를 추구하기 시작했다.이 회사는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 1,600개 이상의 선물 아이템을 제공하고 있으며, 소매업체는 선물 주문 프로세스를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고객에게 더욱 편리하게 제공하는 방법에 대해 고민을 시작했다.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(중략)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대고객 서비스 만족과 운영효율성 증가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프로젝트의 현재 초점은 새 시스템을 모든 매장에 성공적으로 설치하고 안정적인 작동을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수행하는 것이지만, Daiei사는 기존 관리 서버를 각 매장에서 선물 주문 관리 시스템을 실행하는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두 서버로 구성된 가상화 인프라로 모을 계획이다.그러면 운영 효율성과 비용 효과가 증가될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것으로 기대하고 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현재 각 매장에서는 관리 서버 3대를 작동하고 있으며 나머지 3대는 백업으로 두고있다.가상화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환경에서 실행되는 새로운 선물 주문 시스템에는 작동 서버 1대와 백업 시스템 1대가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있다.앞으로 우리는 이 서버를 선물 주문 시스템이 실행되는 가상화 환경에 모으고 작동 서버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1대와 백업 서버 1대의 구성으로 모든 관리 애플리케이션을 실행할 계획이다.그로 인해 기존에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비해 한층 운영 효율성이 증가되고 비용 절감과 더불어 고객에게 제공하는 서비스가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향상되었다고 보고 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Ogawa 부장은 개발 관점에서 공개SW 사용의 이점을 요약해보라고 한다면 사용이 쉽고, 소스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코드가 공용 도메인에 있기 때문에 문제를 신속하게 처리할 수 있으며, 비용이 절감된다는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사실이 주요 이점이라 강조했다.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비용 절감을 위해 공개SW 기반의 시스템을 채택했고 이는 현재 전체 시스템에서 많은 부분을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차지하고 있으며 전체 IT 시스템을 최적화하기 위해 앞으로도 공개SW를 적극적으로 사용할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것이라고 밝혔다.</w:t>
      </w:r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출처 : 1. </w:t>
      </w:r>
      <w:hyperlink r:id="rId13"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http://www.oss.kr/oss_repository10/667104</w:t>
        </w:r>
      </w:hyperlink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      2. </w:t>
      </w:r>
      <w:hyperlink r:id="rId14"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http://www.oss.kr/index.php?mid=oss_repository10&amp;search_target=title&amp;sea</w:t>
        </w:r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r</w:t>
        </w:r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ch_keyword=%EB%AF%B8%EA%B5%AD&amp;document_srl=89818</w:t>
        </w:r>
      </w:hyperlink>
    </w:p>
    <w:p>
      <w:pPr>
        <w:bidi w:val="0"/>
        <w:numPr>
          <w:ilvl w:val="0"/>
          <w:numId w:val="0"/>
        </w:numPr>
        <w:jc w:val="both"/>
        <w:shd w:val="clear" w:fill="FFFFFF"/>
        <w:spacing w:lineRule="auto" w:line="259" w:before="0" w:after="16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t xml:space="preserve">      3. </w:t>
      </w:r>
      <w:hyperlink r:id="rId15"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http://www.oss.kr/index.php?&amp;mid=oss_repository10&amp;search_target=title&amp;s</w:t>
        </w:r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e</w:t>
        </w:r>
        <w:r>
          <w:rPr>
            <w:color w:val="0563C1" w:themeColor="hyperlink"/>
            <w:position w:val="0"/>
            <w:sz w:val="26"/>
            <w:szCs w:val="26"/>
            <w:u w:val="single"/>
            <w:rFonts w:ascii="맑은 고딕" w:eastAsia="맑은 고딕" w:hAnsi="맑은 고딕" w:hint="default"/>
          </w:rPr>
          <w:t>arch_keyword=%EC%9D%BC%EB%B3%B8&amp;document_srl=85638</w:t>
        </w:r>
      </w:hyperlink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tab"/>
      <w:pPr>
        <w:ind w:left="425" w:hanging="425"/>
      </w:pPr>
      <w:rPr>
        <w:rFonts w:ascii="맑은 고딕" w:eastAsia="맑은 고딕" w:hAnsi="맑은 고딕"/>
        <w:shd w:val="clear"/>
        <w:sz w:val="30"/>
        <w:szCs w:val="30"/>
        <w:w w:val="100"/>
      </w:rPr>
      <w:lvlText w:val="%1"/>
    </w:lvl>
    <w:lvl w:ilvl="1">
      <w:lvlJc w:val="left"/>
      <w:numFmt w:val="decimal"/>
      <w:start w:val="1"/>
      <w:suff w:val="tab"/>
      <w:pPr>
        <w:ind w:left="992" w:hanging="567"/>
      </w:pPr>
      <w:rPr>
        <w:rFonts w:ascii="맑은 고딕" w:eastAsia="맑은 고딕" w:hAnsi="맑은 고딕"/>
        <w:shd w:val="clear"/>
        <w:sz w:val="30"/>
        <w:szCs w:val="30"/>
        <w:w w:val="100"/>
      </w:rPr>
      <w:lvlText w:val="%1.%2"/>
    </w:lvl>
    <w:lvl w:ilvl="2">
      <w:lvlJc w:val="left"/>
      <w:numFmt w:val="decimal"/>
      <w:start w:val="1"/>
      <w:suff w:val="tab"/>
      <w:pPr>
        <w:ind w:left="1559" w:hanging="709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2126" w:hanging="851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693" w:hanging="993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5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7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9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1" w:hanging="1701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%2.%3.%4.%5.%6.%7.%8.%9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http://www.oss.kr/files/attach/images/100/104/667/5a53a02bbe1dcab1b398a68246572748.png" TargetMode="External"></Relationship><Relationship Id="rId6" Type="http://schemas.openxmlformats.org/officeDocument/2006/relationships/image" Target="media/fImage71891341.png"></Relationship><Relationship Id="rId7" Type="http://schemas.openxmlformats.org/officeDocument/2006/relationships/image" Target="http://www.oss.kr/oss/images/apply/OklahomaUniv_01_system.jpg" TargetMode="External"></Relationship><Relationship Id="rId8" Type="http://schemas.openxmlformats.org/officeDocument/2006/relationships/image" Target="media/fImage12534868467.jpeg"></Relationship><Relationship Id="rId9" Type="http://schemas.openxmlformats.org/officeDocument/2006/relationships/image" Target="media/fImage129534946334.jpeg"></Relationship><Relationship Id="rId10" Type="http://schemas.openxmlformats.org/officeDocument/2006/relationships/image" Target="media/fImage269681016500.jpeg"></Relationship><Relationship Id="rId11" Type="http://schemas.openxmlformats.org/officeDocument/2006/relationships/image" Target="media/fImage64091049169.png"></Relationship><Relationship Id="rId12" Type="http://schemas.openxmlformats.org/officeDocument/2006/relationships/image" Target="http://www.oss.kr/oss/images/apply/daiei_logo.jpg" TargetMode="External"></Relationship><Relationship Id="rId13" Type="http://schemas.openxmlformats.org/officeDocument/2006/relationships/hyperlink" Target="http://www.oss.kr/oss_repository10/667104" TargetMode="External"></Relationship><Relationship Id="rId14" Type="http://schemas.openxmlformats.org/officeDocument/2006/relationships/hyperlink" Target="http://www.oss.kr/index.php?mid=oss_repository10&amp;search_target=title&amp;search_keyword=%EB%AF%B8%EA%B5%AD&amp;document_srl=89818" TargetMode="External"></Relationship><Relationship Id="rId15" Type="http://schemas.openxmlformats.org/officeDocument/2006/relationships/hyperlink" Target="http://www.oss.kr/index.php?&amp;mid=oss_repository10&amp;search_target=title&amp;search_keyword=%EC%9D%BC%EB%B3%B8&amp;document_srl=85638" TargetMode="External"></Relationship><Relationship Id="rId16" Type="http://schemas.openxmlformats.org/officeDocument/2006/relationships/numbering" Target="numbering.xml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1848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