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Highlights</w:t>
      </w:r>
    </w:p>
    <w:p>
      <w:r>
        <w:t>Structurally-Calibrated Functional Attribution for Audit Prioritization in Knowledge-Intensive Reasoning</w:t>
      </w:r>
    </w:p>
    <w:p>
      <w:r>
        <w:t>Haoran Ma, Ningning Wang</w:t>
      </w:r>
    </w:p>
    <w:p>
      <w:r>
        <w:t>SC-FMA calibrates utility or proxy fidelity into auditable step weights.</w:t>
      </w:r>
    </w:p>
    <w:p>
      <w:r>
        <w:t>PRM800K stratified readout supports audit prioritization moderately.</w:t>
      </w:r>
    </w:p>
    <w:p>
      <w:r>
        <w:t>QP strongest on synthetic benchmark; Ridge closest on PRM800K split.</w:t>
      </w:r>
    </w:p>
    <w:p>
      <w:r>
        <w:t>Downstream PRM training, task replay, and deployment unvalidated.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