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Highlights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Structured audit records organize exposed reasoning and knowledge artifacts.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Graph fields show dependency, redundancy, bottlenecks, and audit reasons.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Locked process annotations test fidelity tracking under audit budgets.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A country knowledge graph shows relation-aware dependency shifts.</w:t>
      </w:r>
    </w:p>
    <w:p>
      <w:pPr>
        <w:spacing w:after="120"/>
      </w:pPr>
      <w:r>
        <w:rPr>
          <w:rFonts w:ascii="Times New Roman" w:hAnsi="Times New Roman" w:eastAsia="Times New Roman"/>
          <w:sz w:val="22"/>
        </w:rPr>
        <w:t>Raw-field controls separate field effects from SCU calibration.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