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left"/>
      </w:pPr>
      <w:r>
        <w:rPr>
          <w:b/>
          <w:color w:val="000000"/>
          <w:sz w:val="40"/>
        </w:rPr>
        <w:t>Supplementary Material for Structurally-Calibrated Functional Attribution for Audit Prioritization in Knowledge-Intensive Reasoning</w:t>
      </w:r>
    </w:p>
    <w:p>
      <w:pPr>
        <w:spacing w:after="120"/>
      </w:pPr>
      <w:r>
        <w:t>Haoran Ma; Ningning Wang</w:t>
      </w:r>
    </w:p>
    <w:p>
      <w:pPr>
        <w:spacing w:after="120"/>
      </w:pPr>
      <w:r>
        <w:t>Abstract. This supplementary material records extended proof notes, method details, route-specific diagnostics, and reproducibility information for the KBS submission package. The LaTeX source bundle remains the authoritative source for mathematical layout; this Word file is a clean readable supplement for portal upload.</w:t>
      </w:r>
    </w:p>
    <w:p>
      <w:pPr>
        <w:spacing w:after="120"/>
      </w:pPr>
      <w:r>
        <w:t>Keywords. supplementary material; structural calibration; audit prioritization; reproducibility; knowledge graph pilot</w:t>
      </w:r>
    </w:p>
    <w:p>
      <w:pPr>
        <w:pStyle w:val="Heading1"/>
      </w:pPr>
      <w:r>
        <w:rPr>
          <w:color w:val="2E74B5"/>
        </w:rPr>
        <w:t>Verification Boundary</w:t>
      </w:r>
    </w:p>
    <w:p>
      <w:pPr>
        <w:spacing w:after="120"/>
      </w:pPr>
      <w:r>
        <w:t>MuSiQue KBS-style Knowledge-Audit Details</w:t>
      </w:r>
    </w:p>
    <w:p>
      <w:pPr>
        <w:spacing w:after="120"/>
      </w:pPr>
      <w:r>
        <w:t>kbs_style_audit_prioritization_evidence_only</w:t>
      </w:r>
    </w:p>
    <w:p>
      <w:pPr>
        <w:spacing w:after="120"/>
      </w:pPr>
      <w:r>
        <w:t>The MuSiQue route is reported as a constructed-label feasibility demonstration only because audit labels and scoring features are deterministic functions of step type. It is not used as independent audit-prioritization evidence.</w:t>
      </w:r>
    </w:p>
    <w:p>
      <w:pPr>
        <w:spacing w:after="120"/>
      </w:pPr>
      <w:r>
        <w:t>The WebQSP route is reported as a supplementary fixed-schema trace-audit diagnostic. It is not KGQA accuracy evidence, semantic parsing evidence, entity-linking evidence, or production KBS validation.</w:t>
      </w:r>
    </w:p>
    <w:p>
      <w:pPr>
        <w:pStyle w:val="Heading1"/>
      </w:pPr>
      <w:r>
        <w:rPr>
          <w:color w:val="2E74B5"/>
        </w:rPr>
        <w:t>Supplementary Evidence Map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Artifact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Allowed interpretation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Synthetic structural stress-test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scripts/run_scu_stress_test.py; outputs/reviewer_v2_experiments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mechanism ablation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QP behavior under designed structural conflict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PRM800K locked split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outputs/real_task_v3_6_prm800k_hash; v3.8 PRM context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positive within boundary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real step-label ranking and PRM800K-like audit prioritization only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MuSiQue decomposition route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outputs/kbs_real_audit_v1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feasibility only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constructed-label pipeline demonstration; no independent audit evidence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WebQSP fixed-schema route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outputs/webqsp_trace_audit_v1_train/test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diagnostic only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separability and metric-artifact diagnostic, not KGQA performance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Countries-KG pilot</w:t>
            </w:r>
          </w:p>
        </w:tc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outputs/kbs_ontology_edge_pilot/kg_pilot_report.json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pilot diagnostic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typed ontology edges can change structural diagnostics; validated_kbs_workflow=false</w:t>
            </w:r>
          </w:p>
        </w:tc>
      </w:tr>
    </w:tbl>
    <w:p/>
    <w:p>
      <w:pPr>
        <w:pStyle w:val="Heading1"/>
      </w:pPr>
      <w:r>
        <w:rPr>
          <w:color w:val="2E74B5"/>
        </w:rPr>
        <w:t>Hyperparameter and Stress-Test Diagnostics</w:t>
      </w:r>
    </w:p>
    <w:p>
      <w:pPr>
        <w:spacing w:after="120"/>
      </w:pPr>
      <w:r>
        <w:t>The QP hyperparameter sensitivity grid sweeps gamma in {0.0, 0.1, 0.2, 0.5, 0.8} and delta in {0.0, 0.05, 0.1, 0.2, 0.4}. The diagnostic default is gamma=0.2 and delta=0.1. The grid is supplementary QP robustness evidence only; it is not positive external validation and does not change the PRM800K Ridge recommendation.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Interpretation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Removing bottleneck pressure lowers Spearman relative to the default on the stress-test generator.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The bottleneck term is useful in the synthetic regime where labels encode bottleneck protection.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Moderate-to-strong redundancy and bottleneck weights remain competitive on the structural stress-test.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The stress-test behavior is not a single-point hyperparameter artifact.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PRM800K still favors w_struct and the Ridge approximation.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QP is reserved for high-structure-conflict settings; Ridge is recommended when learned fidelity is already strong.</w:t>
            </w:r>
          </w:p>
        </w:tc>
      </w:tr>
    </w:tbl>
    <w:p/>
    <w:p>
      <w:pPr>
        <w:pStyle w:val="Heading1"/>
      </w:pPr>
      <w:r>
        <w:rPr>
          <w:color w:val="2E74B5"/>
        </w:rPr>
        <w:t>PRM800K Variant and Audit Readout</w:t>
      </w:r>
    </w:p>
    <w:p>
      <w:pPr>
        <w:spacing w:after="120"/>
      </w:pPr>
      <w:r>
        <w:t>The strongest real-data signal is w_struct. SC-FMA Ridge is a preservation-with-decomposition approximation: it closely preserves w_struct while exposing fidelity, structural necessity, redundancy, and bottleneck components for audit triage.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Mean Spearman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Audit interpretation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w_struct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0.611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Primary PRM800K step-ranking signal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SC-FMA Ridge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0.604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Closest SC-FMA preservation-with-decomposition approximation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SC-FMA QP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0.442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Downgraded on PRM800K; useful only when structural conflict is expected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Raw local utility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-0.077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Insufficient alone for PRM800K annotation ordering</w:t>
            </w:r>
          </w:p>
        </w:tc>
      </w:tr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Frozen PRM prefix score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0.252</w:t>
            </w:r>
          </w:p>
        </w:tc>
        <w:tc>
          <w:tcPr>
            <w:tcW w:type="dxa" w:w="5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In-distribution baseline context only</w:t>
            </w:r>
          </w:p>
        </w:tc>
      </w:tr>
    </w:tbl>
    <w:p/>
    <w:p>
      <w:pPr>
        <w:pStyle w:val="Heading1"/>
      </w:pPr>
      <w:r>
        <w:rPr>
          <w:color w:val="2E74B5"/>
        </w:rPr>
        <w:t>WebQSP Fixed-Schema Trace-Audit Diagnostic</w:t>
      </w:r>
    </w:p>
    <w:p>
      <w:pPr>
        <w:spacing w:after="120"/>
      </w:pPr>
      <w:r>
        <w:t>Development used 494 train traces and 2,964 steps. The locked diagnostic used 1,627 test traces and 9,762 steps. Data-audit counts for missing entities, disconnected subgraphs, duplicate traces, answer leakage, invalid traces, and replay failures were all zero.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Spearman rho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Pairwise accuracy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NDCG@25%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Raw rule delta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SC-FMA Ridge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0.878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SC-FMA QP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0.526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0.799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0.808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Relative position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0.293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0.667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Random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-0.007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0.496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0.582</w:t>
            </w:r>
          </w:p>
        </w:tc>
      </w:tr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Graph degree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-0.726</w:t>
            </w:r>
          </w:p>
        </w:tc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0.111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0.493</w:t>
            </w:r>
          </w:p>
        </w:tc>
      </w:tr>
    </w:tbl>
    <w:p/>
    <w:p>
      <w:pPr>
        <w:spacing w:after="120"/>
      </w:pPr>
      <w:r>
        <w:t>Safe interpretation: the fixed six-step schema makes replay-derived importance largely separable by step role and position, making complex policy optimization redundant under this schema. This is a transferability and evaluation-confound diagnostic, not evidence that SC-FMA improves KGQA, semantic parsing, or deployed KBS maintenance.</w:t>
      </w:r>
    </w:p>
    <w:p>
      <w:pPr>
        <w:pStyle w:val="Heading1"/>
      </w:pPr>
      <w:r>
        <w:rPr>
          <w:color w:val="2E74B5"/>
        </w:rPr>
        <w:t>MuSiQue KBS-Style Knowledge-Audit Details</w:t>
      </w:r>
    </w:p>
    <w:p>
      <w:pPr>
        <w:spacing w:after="120"/>
      </w:pPr>
      <w:r>
        <w:t>The MuSiQue route constructs trace records from decomposition evidence chains. The locked split contains 1,415 samples and 12,715 steps. No API calls are used. The field-level leakage audit is clean, but construction-level homology remains: labels and scoring features share step_type.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Spearman rho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Top-1 hit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NDCG@25%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b/>
              </w:rPr>
              <w:t>Boundary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w_struct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0.9652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feasibility only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SC-FMA Ridge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0.9653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feasibility only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SC-FMA QP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0.9105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feasibility only</w:t>
            </w:r>
          </w:p>
        </w:tc>
      </w:tr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Hand-coded step-type priority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ceiling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1.0000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reveals construction artifact</w:t>
            </w:r>
          </w:p>
        </w:tc>
      </w:tr>
    </w:tbl>
    <w:p/>
    <w:p>
      <w:pPr>
        <w:pStyle w:val="Heading1"/>
      </w:pPr>
      <w:r>
        <w:rPr>
          <w:color w:val="2E74B5"/>
        </w:rPr>
        <w:t>Reproducibility Notes</w:t>
      </w:r>
    </w:p>
    <w:p>
      <w:pPr>
        <w:pStyle w:val="ListBullet"/>
        <w:spacing w:after="80"/>
      </w:pPr>
      <w:r>
        <w:t>All reported routes are offline and use zero API calls unless explicitly documented otherwise.</w:t>
      </w:r>
    </w:p>
    <w:p>
      <w:pPr>
        <w:pStyle w:val="ListBullet"/>
        <w:spacing w:after="80"/>
      </w:pPr>
      <w:r>
        <w:t>The synthetic benchmark is reproducible from scripts/generate_synthetic_traces.py with fixed seeds.</w:t>
      </w:r>
    </w:p>
    <w:p>
      <w:pPr>
        <w:pStyle w:val="ListBullet"/>
        <w:spacing w:after="80"/>
      </w:pPr>
      <w:r>
        <w:t>The structural stress-test is reproducible from scripts/run_scu_stress_test.py and scripts/run_scu_hyperparameter_sensitivity.py.</w:t>
      </w:r>
    </w:p>
    <w:p>
      <w:pPr>
        <w:pStyle w:val="ListBullet"/>
        <w:spacing w:after="80"/>
      </w:pPr>
      <w:r>
        <w:t>The WebQSP diagnostic is reproducible from scripts/run_webqsp_trace_audit.py, scripts/validate_webqsp_trace_audit.py, and scripts/analyze_webqsp_separability.py.</w:t>
      </w:r>
    </w:p>
    <w:p>
      <w:pPr>
        <w:pStyle w:val="ListBullet"/>
        <w:spacing w:after="80"/>
      </w:pPr>
      <w:r>
        <w:t>The Countries-KG pilot is reproducible from src/fma/graph/kg_ontology_pilot.py and outputs/kbs_ontology_edge_pilot/kg_pilot_report.json.</w:t>
      </w:r>
    </w:p>
    <w:p>
      <w:pPr>
        <w:pStyle w:val="Heading1"/>
      </w:pPr>
      <w:r>
        <w:rPr>
          <w:color w:val="2E74B5"/>
        </w:rPr>
        <w:t>Claim Boundary Summary</w:t>
      </w:r>
    </w:p>
    <w:p>
      <w:pPr>
        <w:spacing w:after="120"/>
      </w:pPr>
      <w:r>
        <w:t>This supplementary file supports the manuscript title: Structurally-Calibrated Functional Attribution for Audit Prioritization in Knowledge-Intensive Reasoning</w:t>
      </w:r>
    </w:p>
    <w:p>
      <w:pPr>
        <w:spacing w:after="120"/>
      </w:pPr>
      <w:r>
        <w:t>Allowed: bounded KBS-facing audit-prioritization methodology; PRM800K-like step-label ranking and audit context; diagnostic WebQSP and Countries-KG routes; MuSiQue feasibility demonstration only.</w:t>
      </w:r>
    </w:p>
    <w:p>
      <w:pPr>
        <w:spacing w:after="120"/>
      </w:pPr>
      <w:r>
        <w:t>Not claimed: downstream PRM/filtering gains, GSM8K/HotpotQA replay-pass evidence, WebQSP KGQA improvement, production knowledge-base deployment validation, MuSiQue-derived independent audit evidence, or formal causal identification.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