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22"/>
        </w:rPr>
        <w:t>Highlights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Structurally-Calibrated Functional Attribution for Audit Prioritization in Knowledge-Intensive Reasoning</w:t>
      </w:r>
    </w:p>
    <w:p>
      <w:pPr>
        <w:spacing w:after="240"/>
        <w:jc w:val="center"/>
      </w:pPr>
      <w:r>
        <w:rPr>
          <w:rFonts w:ascii="Times New Roman" w:hAnsi="Times New Roman"/>
          <w:b w:val="0"/>
          <w:sz w:val="22"/>
        </w:rPr>
        <w:t>Haoran Ma; Ningning Wang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SC-FMA converts intermediate knowledge artifacts into structured audit records for fixed-budget curation.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Graph-aware representation fields record fidelity, structural dependency, redundancy, bottleneck exposure, and maintenance actions.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The PRM800K process-annotation dataset is used to analyze annotation-order preservation as representation behavior under an audit budget.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A Countries-KG diagnostic graph shows how typed relations alter structural-dependency allocation.</w:t>
      </w:r>
    </w:p>
    <w:p>
      <w:pPr>
        <w:pStyle w:val="ListBullet"/>
        <w:spacing w:after="80"/>
      </w:pPr>
      <w:r>
        <w:rPr>
          <w:rFonts w:ascii="Times New Roman" w:hAnsi="Times New Roman"/>
          <w:b w:val="0"/>
          <w:sz w:val="22"/>
        </w:rPr>
        <w:t>Audit-record construction supports fixed-budget knowledge maintenance, curation, and reuse.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