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keepNext/>
        <w:spacing w:after="80" w:line="259" w:lineRule="auto"/>
      </w:pPr>
      <w:r>
        <w:rPr>
          <w:b/>
        </w:rPr>
        <w:t>Structurally-Calibrated Functional Attribution for Audit Prioritization in Knowledge-Intensive Reasoning</w:t>
      </w:r>
    </w:p>
    <w:p>
      <w:pPr>
        <w:spacing w:after="200" w:line="259" w:lineRule="auto"/>
      </w:pPr>
      <w:r>
        <w:rPr>
          <w:b w:val="0"/>
        </w:rPr>
        <w:t>Haoran Ma; Ningning Wang</w:t>
      </w:r>
    </w:p>
    <w:p>
      <w:pPr>
        <w:pStyle w:val="ListBullet"/>
        <w:spacing w:after="120" w:line="259" w:lineRule="auto"/>
      </w:pPr>
      <w:r>
        <w:t>SC-FMA converts intermediate knowledge artifacts into structured audit records for fixed-budget curation.</w:t>
      </w:r>
    </w:p>
    <w:p>
      <w:pPr>
        <w:pStyle w:val="ListBullet"/>
        <w:spacing w:after="120" w:line="259" w:lineRule="auto"/>
      </w:pPr>
      <w:r>
        <w:t>Graph-aware representation fields record fidelity, structural dependency, redundancy, bottleneck exposure, and maintenance actions.</w:t>
      </w:r>
    </w:p>
    <w:p>
      <w:pPr>
        <w:pStyle w:val="ListBullet"/>
        <w:spacing w:after="120" w:line="259" w:lineRule="auto"/>
      </w:pPr>
      <w:r>
        <w:t>PRM800K annotation evidence is used to analyze annotation-order preservation as representation behavior under an audit budget.</w:t>
      </w:r>
    </w:p>
    <w:p>
      <w:pPr>
        <w:pStyle w:val="ListBullet"/>
        <w:spacing w:after="120" w:line="259" w:lineRule="auto"/>
      </w:pPr>
      <w:r>
        <w:t>A Countries-KG study shows how typed graph relations alter structural-dependency allocation.</w:t>
      </w:r>
    </w:p>
    <w:p>
      <w:pPr>
        <w:pStyle w:val="ListBullet"/>
        <w:spacing w:after="120" w:line="259" w:lineRule="auto"/>
      </w:pPr>
      <w:r>
        <w:t>Audit-record construction supports fixed-budget knowledge maintenance, curation, and reuse.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Data &amp; Knowledge Engineering submission highlights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