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059ED">
      <w:pPr>
        <w:pStyle w:val="3"/>
        <w:rPr>
          <w:color w:val="auto"/>
        </w:rPr>
      </w:pPr>
      <w:bookmarkStart w:id="0" w:name="_GoBack"/>
      <w:r>
        <w:rPr>
          <w:color w:val="auto"/>
        </w:rPr>
        <w:t>Highlights</w:t>
      </w:r>
    </w:p>
    <w:p w14:paraId="1A0A45EB">
      <w:pPr>
        <w:jc w:val="center"/>
        <w:rPr>
          <w:color w:val="auto"/>
        </w:rPr>
      </w:pPr>
      <w:r>
        <w:rPr>
          <w:b/>
          <w:color w:val="auto"/>
        </w:rPr>
        <w:t>Structurally-Calibrated Functional Attribution for Audit Prioritization in Knowledge-Intensive Reasoning</w:t>
      </w:r>
    </w:p>
    <w:p w14:paraId="13591B3B">
      <w:pPr>
        <w:jc w:val="center"/>
        <w:rPr>
          <w:color w:val="auto"/>
        </w:rPr>
      </w:pPr>
      <w:r>
        <w:rPr>
          <w:color w:val="auto"/>
        </w:rPr>
        <w:t>Haoran Ma; Ningning Wang</w:t>
      </w:r>
    </w:p>
    <w:p w14:paraId="243E80F1">
      <w:pPr>
        <w:pStyle w:val="16"/>
        <w:rPr>
          <w:color w:val="auto"/>
        </w:rPr>
      </w:pPr>
      <w:r>
        <w:rPr>
          <w:rFonts w:ascii="Arial" w:hAnsi="Arial"/>
          <w:color w:val="auto"/>
          <w:sz w:val="22"/>
        </w:rPr>
        <w:t>SC-FMA converts scalar fidelity into auditable verification-step weights.</w:t>
      </w:r>
    </w:p>
    <w:p w14:paraId="016A1AC2">
      <w:pPr>
        <w:pStyle w:val="16"/>
        <w:rPr>
          <w:color w:val="auto"/>
        </w:rPr>
      </w:pPr>
      <w:r>
        <w:rPr>
          <w:rFonts w:ascii="Arial" w:hAnsi="Arial"/>
          <w:color w:val="auto"/>
          <w:sz w:val="22"/>
        </w:rPr>
        <w:t>Synthetic QP raises Spearman rho from 0.483 to 0.597 under proxy labels.</w:t>
      </w:r>
    </w:p>
    <w:p w14:paraId="7378D964">
      <w:pPr>
        <w:pStyle w:val="16"/>
        <w:rPr>
          <w:color w:val="auto"/>
        </w:rPr>
      </w:pPr>
      <w:r>
        <w:rPr>
          <w:rFonts w:ascii="Arial" w:hAnsi="Arial"/>
          <w:color w:val="auto"/>
          <w:sz w:val="22"/>
        </w:rPr>
        <w:t>Countries-KG and Sentence-BERT checks show graph-backend substitutability.</w:t>
      </w:r>
    </w:p>
    <w:p w14:paraId="1EBB29BC">
      <w:pPr>
        <w:pStyle w:val="16"/>
        <w:rPr>
          <w:color w:val="auto"/>
        </w:rPr>
      </w:pPr>
      <w:r>
        <w:rPr>
          <w:rFonts w:ascii="Arial" w:hAnsi="Arial"/>
          <w:color w:val="auto"/>
          <w:sz w:val="22"/>
        </w:rPr>
        <w:t>PRM800K gives preliminary audit-prioritization support; Ridge preserves w_struct.</w:t>
      </w:r>
    </w:p>
    <w:p w14:paraId="41770469">
      <w:pPr>
        <w:pStyle w:val="16"/>
        <w:rPr>
          <w:color w:val="auto"/>
        </w:rPr>
      </w:pPr>
      <w:r>
        <w:rPr>
          <w:rFonts w:ascii="Arial" w:hAnsi="Arial"/>
          <w:color w:val="auto"/>
          <w:sz w:val="22"/>
        </w:rPr>
        <w:t>Rule-derived audit targets improve Recall@25% from 0.235 to 0.699.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4C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454</Characters>
  <Lines>0</Lines>
  <Paragraphs>0</Paragraphs>
  <TotalTime>0</TotalTime>
  <ScaleCrop>false</ScaleCrop>
  <LinksUpToDate>false</LinksUpToDate>
  <CharactersWithSpaces>504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Haoran Ma; Ningning Wang</dc:creator>
  <cp:keywords>SC-FMA; audit prioritization; PRM800K; Knowledge-Based Systems</cp:keywords>
  <cp:lastModifiedBy>Ma</cp:lastModifiedBy>
  <dcterms:modified xsi:type="dcterms:W3CDTF">2026-07-02T06:31:05Z</dcterms:modified>
  <dc:subject>Structurally-Calibrated Functional Attribution for Audit Prioritization in Knowledge-Intensive Reasoning</dc:subject>
  <dc:title>Highlights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eyJoZGlkIjoiY2I4MTYwNjFlODA2MzBlMWZhZGRjMTcxMzU0Y2ZhMjkiLCJ1c2VySWQiOiIyMzU5ODcyOTEifQ==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7E1FCA6B12A9472B98C1F6C15CBB6CDF_12</vt:lpwstr>
  </property>
</Properties>
</file>