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08BD6">
      <w:pPr>
        <w:pStyle w:val="164"/>
        <w:spacing w:after="80" w:line="259" w:lineRule="auto"/>
        <w:rPr>
          <w:color w:val="auto"/>
        </w:rPr>
      </w:pPr>
      <w:r>
        <w:rPr>
          <w:rFonts w:cs="Arial"/>
          <w:color w:val="auto"/>
          <w:sz w:val="20"/>
        </w:rPr>
        <w:t>Supplementary Material for Structurally-Calibrated Functional Attribution for Audit Prioritization in Knowledge-Intensive Reasoning</w:t>
      </w:r>
    </w:p>
    <w:p w14:paraId="78614BB5">
      <w:pPr>
        <w:pStyle w:val="165"/>
        <w:spacing w:after="80" w:line="259" w:lineRule="auto"/>
        <w:jc w:val="center"/>
        <w:rPr>
          <w:color w:val="auto"/>
        </w:rPr>
      </w:pPr>
      <w:r>
        <w:rPr>
          <w:rFonts w:cs="Arial"/>
          <w:color w:val="auto"/>
        </w:rPr>
        <w:t>Haoran Ma; Ningning Wang</w:t>
      </w:r>
    </w:p>
    <w:p w14:paraId="47A25D15">
      <w:pPr>
        <w:pStyle w:val="166"/>
        <w:spacing w:after="80" w:line="259" w:lineRule="auto"/>
        <w:rPr>
          <w:color w:val="auto"/>
        </w:rPr>
      </w:pPr>
      <w:r>
        <w:rPr>
          <w:rFonts w:cs="Arial" w:ascii="Arial" w:hAnsi="Arial"/>
          <w:b/>
          <w:color w:val="auto"/>
          <w:sz w:val="20"/>
        </w:rPr>
        <w:t>Abstract. This supplementary material records extended proof notes, method details, stage-specific diagnostics, automatic rule-derived audit-target validation, graph-construction ablations, and reproducibility information for the KBS submission package. The LaTeX source bundle remains the authoritative source for mathematical layout; this Word file is a clean readable supplement for portal upload.</w:t>
      </w:r>
      <w:r>
        <w:rPr>
          <w:rFonts w:cs="Arial"/>
          <w:color w:val="auto"/>
          <w:sz w:val="20"/>
        </w:rPr>
      </w:r>
    </w:p>
    <w:p w14:paraId="3AD9D20F">
      <w:pPr>
        <w:pStyle w:val="167"/>
        <w:spacing w:after="80" w:line="259" w:lineRule="auto"/>
        <w:rPr>
          <w:color w:val="auto"/>
        </w:rPr>
      </w:pPr>
      <w:r>
        <w:rPr>
          <w:rFonts w:cs="Arial" w:ascii="Arial" w:hAnsi="Arial"/>
          <w:b/>
          <w:color w:val="auto"/>
          <w:sz w:val="20"/>
        </w:rPr>
        <w:t>Keywords. supplementary material; structural calibration; audit prioritization; rule-derived audit-target validation; graph construction; reproducibility</w:t>
      </w:r>
      <w:r>
        <w:rPr>
          <w:rFonts w:cs="Arial"/>
          <w:color w:val="auto"/>
          <w:sz w:val="20"/>
        </w:rPr>
      </w:r>
      <w:bookmarkStart w:id="0" w:name="_GoBack"/>
      <w:bookmarkEnd w:id="0"/>
    </w:p>
    <w:p w14:paraId="515C64B6">
      <w:pPr>
        <w:pStyle w:val="3"/>
        <w:rPr>
          <w:color w:val="auto"/>
        </w:rPr>
      </w:pPr>
      <w:r>
        <w:rPr>
          <w:rFonts w:ascii="Arial" w:hAnsi="Arial" w:eastAsia="Arial" w:cs="Arial"/>
          <w:color w:val="auto"/>
        </w:rPr>
        <w:t>Verification Boundary</w:t>
      </w:r>
    </w:p>
    <w:p w14:paraId="60907D19">
      <w:pPr>
        <w:pStyle w:val="169"/>
        <w:spacing w:after="80" w:line="259" w:lineRule="auto"/>
        <w:rPr>
          <w:color w:val="auto"/>
        </w:rPr>
      </w:pPr>
      <w:r>
        <w:rPr>
          <w:rFonts w:cs="Arial"/>
          <w:b/>
          <w:color w:val="auto"/>
          <w:sz w:val="19"/>
        </w:rPr>
        <w:t>MuSiQue KBS-style Knowledge-Audit Details</w:t>
      </w:r>
    </w:p>
    <w:p w14:paraId="221BFFE6">
      <w:pPr>
        <w:pStyle w:val="169"/>
        <w:spacing w:after="80" w:line="259" w:lineRule="auto"/>
        <w:rPr>
          <w:color w:val="auto"/>
        </w:rPr>
      </w:pPr>
      <w:r>
        <w:rPr>
          <w:rFonts w:cs="Arial"/>
          <w:i/>
          <w:color w:val="auto"/>
          <w:sz w:val="17"/>
        </w:rPr>
        <w:t>kbs_style_audit_prioritization_evidence_only</w:t>
      </w:r>
    </w:p>
    <w:p w14:paraId="2734EFE6">
      <w:pPr>
        <w:rPr>
          <w:color w:val="auto"/>
        </w:rPr>
      </w:pPr>
      <w:r>
        <w:rPr>
          <w:rFonts w:eastAsia="Arial" w:cs="Arial"/>
          <w:color w:val="auto"/>
        </w:rPr>
        <w:t>The MuSiQue diagnostic is reported as a constructed-label feasibility demonstration only because audit labels and scoring features are deterministic functions of step type. It is not used as independent audit-prioritization evidence.</w:t>
      </w:r>
    </w:p>
    <w:p w14:paraId="34E42020">
      <w:pPr>
        <w:rPr>
          <w:color w:val="auto"/>
        </w:rPr>
      </w:pPr>
      <w:r>
        <w:rPr>
          <w:rFonts w:eastAsia="Arial" w:cs="Arial"/>
          <w:color w:val="auto"/>
        </w:rPr>
        <w:t>The WebQSP diagnostic is reported as a supplementary fixed-schema trace-audit diagnostic. It is not KGQA accuracy evidence, semantic parsing evidence, entity-linking evidence, or production KBS validation.</w:t>
      </w:r>
    </w:p>
    <w:p w14:paraId="2EB12FBC">
      <w:pPr>
        <w:rPr>
          <w:color w:val="auto"/>
        </w:rPr>
      </w:pPr>
      <w:r>
        <w:rPr>
          <w:rFonts w:eastAsia="Arial" w:cs="Arial" w:ascii="Arial" w:hAnsi="Arial"/>
          <w:color w:val="auto"/>
        </w:rPr>
        <w:t>The automatic rule-derived audit-target validation is zero-human: no human-subjects or human-efficiency claim is made, no deployed KBS workflow is validated, and the evidence level is rule-derived audit-target information recovery. It supports decomposition-field information recovery, not human-performance claims.</w:t>
      </w:r>
    </w:p>
    <w:p w14:paraId="5E811D68">
      <w:pPr>
        <w:pStyle w:val="3"/>
        <w:rPr>
          <w:color w:val="auto"/>
        </w:rPr>
      </w:pPr>
      <w:r>
        <w:rPr>
          <w:rFonts w:ascii="Arial" w:hAnsi="Arial" w:eastAsia="Arial" w:cs="Arial"/>
          <w:color w:val="auto"/>
        </w:rPr>
        <w:t>Supplementary Evidence Map</w:t>
      </w:r>
    </w:p>
    <w:p w14:paraId="1A51FE05">
      <w:pPr>
        <w:pStyle w:val="168"/>
        <w:rPr>
          <w:color w:val="auto"/>
        </w:rPr>
      </w:pPr>
      <w:r>
        <w:rPr>
          <w:rFonts w:cs="Arial"/>
          <w:color w:val="auto"/>
        </w:rPr>
        <w:t>Table S1. Supplementary evidence map</w:t>
      </w:r>
    </w:p>
    <w:tbl>
      <w:tblPr>
        <w:tblStyle w:val="33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 w:color="000000"/>
          <w:bottom w:val="single" w:sz="4" w:space="0" w:color="000000"/>
          <w:insideH w:val="single" w:sz="4" w:space="0" w:color="000000"/>
          <w:left w:val="single" w:sz="4" w:space="0" w:color="000000"/>
          <w:right w:val="single" w:sz="4" w:space="0" w:color="000000"/>
          <w:insideV w:val="single" w:sz="4" w:space="0" w:color="000000"/>
        </w:tblBorders>
      </w:tblPr>
      <w:tblGrid>
        <w:gridCol w:w="1700"/>
        <w:gridCol w:w="2700"/>
        <w:gridCol w:w="1450"/>
        <w:gridCol w:w="4014"/>
      </w:tblGrid>
      <w:tr w14:paraId="25A8B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5"/>
              </w:rPr>
              <w:t>Diagnostic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Artifact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Status</w:t>
            </w:r>
          </w:p>
        </w:tc>
        <w:tc>
          <w:tcPr>
            <w:tcW w:w="40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Allowed interpretation</w:t>
            </w:r>
          </w:p>
        </w:tc>
      </w:tr>
      <w:tr w14:paraId="451A3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Synthetic structural stress-test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scripts/run_scu_stress_test.py; outputs/reviewer_v2_experiments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mechanism ablation</w:t>
            </w:r>
          </w:p>
        </w:tc>
        <w:tc>
          <w:tcPr>
            <w:tcW w:w="40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QP behavior under designed structural conflict</w:t>
            </w:r>
          </w:p>
        </w:tc>
      </w:tr>
      <w:tr w14:paraId="2CB3A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PRM800K locked split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outputs/real_task_v3_6_prm800k_hash; v3.8 PRM context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positive within boundary</w:t>
            </w:r>
          </w:p>
        </w:tc>
        <w:tc>
          <w:tcPr>
            <w:tcW w:w="40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real step-label ranking and PRM800K-like audit prioritization only</w:t>
            </w:r>
          </w:p>
        </w:tc>
      </w:tr>
      <w:tr w14:paraId="6CC7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Rule-derived audit-target validation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outputs/kbs_audit_card_auto_validation_v1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zero-human automatic validation</w:t>
            </w:r>
          </w:p>
        </w:tc>
        <w:tc>
          <w:tcPr>
            <w:tcW w:w="40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rule-derived audit-target information recovery with circularity limits</w:t>
            </w:r>
          </w:p>
        </w:tc>
      </w:tr>
      <w:tr w14:paraId="61D76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Embedding graph-construction ablation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outputs/reviewer_v2_experiments/graph_construction_ablation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graph-interface ablation</w:t>
            </w:r>
          </w:p>
        </w:tc>
        <w:tc>
          <w:tcPr>
            <w:tcW w:w="40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TF-IDF is replaceable by semantic embeddings without changing SCU</w:t>
            </w:r>
          </w:p>
        </w:tc>
      </w:tr>
      <w:tr w14:paraId="417E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MuSiQue decomposition diagnostic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outputs/kbs_real_audit_v1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feasibility only</w:t>
            </w:r>
          </w:p>
        </w:tc>
        <w:tc>
          <w:tcPr>
            <w:tcW w:w="40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constructed-label pipeline demonstration; no independent audit evidence</w:t>
            </w:r>
          </w:p>
        </w:tc>
      </w:tr>
      <w:tr w14:paraId="224E1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WebQSP fixed-schema diagnostic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outputs/webqsp_trace_audit_v1_train/test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diagnostic only</w:t>
            </w:r>
          </w:p>
        </w:tc>
        <w:tc>
          <w:tcPr>
            <w:tcW w:w="40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separability and metric-artifact diagnostic, not KGQA performance</w:t>
            </w:r>
          </w:p>
        </w:tc>
      </w:tr>
      <w:tr w14:paraId="3EB97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Countries-KG typed-edge stage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outputs/kbs_ontology_edge_pilot/kg_pilot_report.json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typed-edge diagnostic</w:t>
            </w:r>
          </w:p>
        </w:tc>
        <w:tc>
          <w:tcPr>
            <w:tcW w:w="40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typed ontology edges can change structural diagnostics; no deployed workflow validation</w:t>
            </w:r>
          </w:p>
        </w:tc>
      </w:tr>
    </w:tbl>
    <w:p w14:paraId="6D54674F">
      <w:pPr>
        <w:rPr>
          <w:color w:val="auto"/>
        </w:rPr>
      </w:pPr>
    </w:p>
    <w:p w14:paraId="40B76E52">
      <w:pPr>
        <w:rPr>
          <w:color w:val="auto"/>
        </w:rPr>
      </w:pPr>
      <w:r>
        <w:rPr>
          <w:color w:val="auto"/>
        </w:rPr>
        <w:br w:type="page"/>
      </w:r>
    </w:p>
    <w:p w14:paraId="5A0C3B75">
      <w:pPr>
        <w:pStyle w:val="3"/>
        <w:rPr>
          <w:color w:val="auto"/>
        </w:rPr>
      </w:pPr>
      <w:r>
        <w:rPr>
          <w:rFonts w:ascii="Arial" w:hAnsi="Arial" w:eastAsia="Arial" w:cs="Arial"/>
          <w:color w:val="auto"/>
          <w:sz w:val="20"/>
        </w:rPr>
        <w:t>Rule-Derived Audit-Target Validation</w:t>
      </w:r>
    </w:p>
    <w:p w14:paraId="2251D7CA">
      <w:pPr>
        <w:rPr>
          <w:color w:val="auto"/>
        </w:rPr>
      </w:pPr>
      <w:r>
        <w:rPr>
          <w:rFonts w:eastAsia="Arial" w:cs="Arial" w:ascii="Arial" w:hAnsi="Arial"/>
          <w:color w:val="auto"/>
        </w:rPr>
        <w:t>Failure-mode localization is evaluated as an information-retrieval task over traces. The scalar condition uses only the w_struct score, while the SC-FMA condition uses fidelity, structural necessity, redundancy, bottleneck status, and recommended action fields. Audit targets are rule-derived from PRM800K labels, ranking disagreement, redundancy density, bottleneck flags, and the failure-taxonomy rules; they are not human adjudications.</w:t>
      </w:r>
    </w:p>
    <w:p w14:paraId="38D02385">
      <w:pPr>
        <w:pStyle w:val="168"/>
        <w:rPr>
          <w:color w:val="auto"/>
        </w:rPr>
      </w:pPr>
      <w:r>
        <w:rPr>
          <w:rFonts w:cs="Arial" w:ascii="Arial" w:hAnsi="Arial"/>
          <w:color w:val="auto"/>
        </w:rPr>
        <w:t>Table S2. Rule-derived audit-target validation</w:t>
      </w:r>
    </w:p>
    <w:tbl>
      <w:tblPr>
        <w:tblStyle w:val="33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 w:color="000000"/>
          <w:bottom w:val="single" w:sz="4" w:space="0" w:color="000000"/>
          <w:insideH w:val="single" w:sz="4" w:space="0" w:color="000000"/>
          <w:left w:val="single" w:sz="4" w:space="0" w:color="000000"/>
          <w:right w:val="single" w:sz="4" w:space="0" w:color="000000"/>
          <w:insideV w:val="single" w:sz="4" w:space="0" w:color="000000"/>
        </w:tblBorders>
      </w:tblPr>
      <w:tblGrid>
        <w:gridCol w:w="1800"/>
        <w:gridCol w:w="1150"/>
        <w:gridCol w:w="1150"/>
        <w:gridCol w:w="1000"/>
        <w:gridCol w:w="1000"/>
        <w:gridCol w:w="3764"/>
      </w:tblGrid>
      <w:tr w14:paraId="2AEED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View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Recall@25%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NDCG@25%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MRR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Top-1 hit</w:t>
            </w:r>
          </w:p>
        </w:tc>
        <w:tc>
          <w:tcPr>
            <w:tcW w:w="37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Cost proxy</w:t>
            </w:r>
          </w:p>
        </w:tc>
      </w:tr>
      <w:tr w14:paraId="3ACA9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w_struct scalar only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0.235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0.353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0.354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0.000</w:t>
            </w:r>
          </w:p>
        </w:tc>
        <w:tc>
          <w:tcPr>
            <w:tcW w:w="37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0.0007</w:t>
            </w:r>
          </w:p>
        </w:tc>
      </w:tr>
      <w:tr w14:paraId="0363E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SC-FMA decomposition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0.699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0.978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  <w:tc>
          <w:tcPr>
            <w:tcW w:w="37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0.0002</w:t>
            </w:r>
          </w:p>
        </w:tc>
      </w:tr>
    </w:tbl>
    <w:p w14:paraId="2AE58DB5">
      <w:pPr>
        <w:rPr>
          <w:color w:val="auto"/>
        </w:rPr>
      </w:pPr>
    </w:p>
    <w:p w14:paraId="437A1ED0">
      <w:pPr>
        <w:rPr>
          <w:color w:val="auto"/>
        </w:rPr>
      </w:pPr>
      <w:r>
        <w:rPr>
          <w:rFonts w:eastAsia="Arial" w:cs="Arial" w:ascii="Arial" w:hAnsi="Arial"/>
          <w:color w:val="auto"/>
        </w:rPr>
        <w:t>Interpretation: the decomposition fields recover rule-defined audit targets more effectively than the scalar-only view. This is automatic information-recovery evidence, not human-subject or human-efficiency evidence.</w:t>
      </w:r>
    </w:p>
    <w:p w14:paraId="3EFCE508">
      <w:pPr>
        <w:pStyle w:val="3"/>
        <w:rPr>
          <w:color w:val="auto"/>
        </w:rPr>
      </w:pPr>
      <w:r>
        <w:rPr>
          <w:rFonts w:ascii="Arial" w:hAnsi="Arial" w:eastAsia="Arial" w:cs="Arial"/>
          <w:color w:val="auto"/>
        </w:rPr>
        <w:t>Graph Construction and Embedding Ablation</w:t>
      </w:r>
    </w:p>
    <w:p w14:paraId="06EB4B16">
      <w:pPr>
        <w:rPr>
          <w:color w:val="auto"/>
        </w:rPr>
      </w:pPr>
      <w:r>
        <w:rPr>
          <w:rFonts w:eastAsia="Arial" w:cs="Arial"/>
          <w:color w:val="auto"/>
        </w:rPr>
        <w:t>The graph-construction ablation compares temporal-only, TF-IDF topical, Jaccard topical, Sentence-BERT embedding topical, and shuffled-topical variants under the same diagnostic protocol. The embedding diagnostic uses sentence-transformers/all-MiniLM-L6-v2 through sentence-transformers version 3.4.1 with 384-dimensional vectors. The report records the HuggingFace cache path, download/cache status, runtime status, and graph-constructor metadata.</w:t>
      </w:r>
    </w:p>
    <w:p w14:paraId="0BAC430B">
      <w:pPr>
        <w:pStyle w:val="168"/>
        <w:rPr>
          <w:color w:val="auto"/>
        </w:rPr>
      </w:pPr>
      <w:r>
        <w:rPr>
          <w:rFonts w:cs="Arial"/>
          <w:color w:val="auto"/>
        </w:rPr>
        <w:t>Table S3. Graph construction and embedding ablation</w:t>
      </w:r>
    </w:p>
    <w:tbl>
      <w:tblPr>
        <w:tblStyle w:val="33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 w:color="000000"/>
          <w:bottom w:val="single" w:sz="4" w:space="0" w:color="000000"/>
          <w:insideH w:val="single" w:sz="4" w:space="0" w:color="000000"/>
          <w:left w:val="single" w:sz="4" w:space="0" w:color="000000"/>
          <w:right w:val="single" w:sz="4" w:space="0" w:color="000000"/>
          <w:insideV w:val="single" w:sz="4" w:space="0" w:color="000000"/>
        </w:tblBorders>
      </w:tblPr>
      <w:tblGrid>
        <w:gridCol w:w="2100"/>
        <w:gridCol w:w="1400"/>
        <w:gridCol w:w="1350"/>
        <w:gridCol w:w="1350"/>
        <w:gridCol w:w="3664"/>
      </w:tblGrid>
      <w:tr w14:paraId="2AB06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Constructor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Spearman rho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Kendall tau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Faithfulness</w:t>
            </w:r>
          </w:p>
        </w:tc>
        <w:tc>
          <w:tcPr>
            <w:tcW w:w="36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Edges</w:t>
            </w:r>
          </w:p>
        </w:tc>
      </w:tr>
      <w:tr w14:paraId="6456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embedding_topical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0.0615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0.0541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0.0863</w:t>
            </w:r>
          </w:p>
        </w:tc>
        <w:tc>
          <w:tcPr>
            <w:tcW w:w="36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2,282</w:t>
            </w:r>
          </w:p>
        </w:tc>
      </w:tr>
      <w:tr w14:paraId="71E5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temporal_only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0.0596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0.0527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0.0753</w:t>
            </w:r>
          </w:p>
        </w:tc>
        <w:tc>
          <w:tcPr>
            <w:tcW w:w="36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2,098</w:t>
            </w:r>
          </w:p>
        </w:tc>
      </w:tr>
      <w:tr w14:paraId="121EE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jaccard_topical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0.0517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0.0460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0.0552</w:t>
            </w:r>
          </w:p>
        </w:tc>
        <w:tc>
          <w:tcPr>
            <w:tcW w:w="36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1,655</w:t>
            </w:r>
          </w:p>
        </w:tc>
      </w:tr>
      <w:tr w14:paraId="6A39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tfidf_topical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0.0515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0.0458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0.0542</w:t>
            </w:r>
          </w:p>
        </w:tc>
        <w:tc>
          <w:tcPr>
            <w:tcW w:w="36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1,648</w:t>
            </w:r>
          </w:p>
        </w:tc>
      </w:tr>
      <w:tr w14:paraId="036B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shuffled_topical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0.0515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0.0458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0.0542</w:t>
            </w:r>
          </w:p>
        </w:tc>
        <w:tc>
          <w:tcPr>
            <w:tcW w:w="36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1,648</w:t>
            </w:r>
          </w:p>
        </w:tc>
      </w:tr>
    </w:tbl>
    <w:p w14:paraId="58B4C436">
      <w:pPr>
        <w:rPr>
          <w:color w:val="auto"/>
        </w:rPr>
      </w:pPr>
    </w:p>
    <w:p w14:paraId="29D82D40">
      <w:pPr>
        <w:rPr>
          <w:color w:val="auto"/>
        </w:rPr>
      </w:pPr>
      <w:r>
        <w:rPr>
          <w:rFonts w:eastAsia="Arial" w:cs="Arial"/>
          <w:color w:val="auto"/>
        </w:rPr>
        <w:t>Interpretation: the result is graph-interface robustness evidence. TF-IDF is a lightweight default constructor; Sentence-BERT embeddings can be substituted at the graph interface. The manuscript does not claim a production graph-ranking or live KBS performance result.</w:t>
      </w:r>
    </w:p>
    <w:p w14:paraId="654CBDB9">
      <w:pPr>
        <w:pStyle w:val="3"/>
        <w:rPr>
          <w:color w:val="auto"/>
        </w:rPr>
      </w:pPr>
      <w:r>
        <w:rPr>
          <w:rFonts w:ascii="Arial" w:hAnsi="Arial" w:eastAsia="Arial" w:cs="Arial"/>
          <w:color w:val="auto"/>
        </w:rPr>
        <w:t>Hyperparameter and Stress-Test Diagnostics</w:t>
      </w:r>
    </w:p>
    <w:p w14:paraId="4C175B5E">
      <w:pPr>
        <w:rPr>
          <w:color w:val="auto"/>
        </w:rPr>
      </w:pPr>
      <w:r>
        <w:rPr>
          <w:rFonts w:eastAsia="Arial" w:cs="Arial"/>
          <w:color w:val="auto"/>
        </w:rPr>
        <w:t>The QP hyperparameter sensitivity grid sweeps gamma in {0.0, 0.1, 0.2, 0.5, 0.8} and delta in {0.0, 0.05, 0.1, 0.2, 0.4}. The diagnostic default is gamma=0.2 and delta=0.1. The grid is supplementary QP robustness evidence only; it is not positive external validation and does not change the PRM800K Ridge recommendation.</w:t>
      </w:r>
    </w:p>
    <w:p w14:paraId="3718F3F9">
      <w:pPr>
        <w:pStyle w:val="168"/>
        <w:spacing w:after="80" w:line="259" w:lineRule="auto"/>
        <w:rPr>
          <w:color w:val="auto"/>
        </w:rPr>
      </w:pPr>
      <w:r>
        <w:rPr>
          <w:rFonts w:cs="Arial"/>
          <w:color w:val="auto"/>
        </w:rPr>
        <w:t>Table S4. Alpha/beta QP sensitivity grid</w:t>
      </w:r>
    </w:p>
    <w:tbl>
      <w:tblPr>
        <w:tblStyle w:val="33"/>
        <w:tblW w:w="62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 w:color="000000"/>
          <w:bottom w:val="single" w:sz="4" w:space="0" w:color="000000"/>
          <w:insideH w:val="single" w:sz="4" w:space="0" w:color="000000"/>
          <w:left w:val="single" w:sz="4" w:space="0" w:color="000000"/>
          <w:right w:val="single" w:sz="4" w:space="0" w:color="000000"/>
          <w:insideV w:val="single" w:sz="4" w:space="0" w:color="000000"/>
        </w:tblBorders>
      </w:tblPr>
      <w:tblGrid>
        <w:gridCol w:w="1300"/>
        <w:gridCol w:w="1650"/>
        <w:gridCol w:w="1650"/>
        <w:gridCol w:w="1650"/>
      </w:tblGrid>
      <w:tr w14:paraId="34FF65FB">
        <w:tblPrEx>
          <w:tblBorders>
            <w:top w:val="single" w:color="9E9E9E" w:sz="4" w:space="0"/>
            <w:left w:val="single" w:color="9E9E9E" w:sz="4" w:space="0"/>
            <w:bottom w:val="single" w:color="9E9E9E" w:sz="4" w:space="0"/>
            <w:right w:val="single" w:color="9E9E9E" w:sz="4" w:space="0"/>
            <w:insideH w:val="single" w:color="9E9E9E" w:sz="4" w:space="0"/>
            <w:insideV w:val="single" w:color="9E9E9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547498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alpha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09BC97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beta=0.0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94D0BD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beta=0.5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189B01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beta=1.0</w:t>
            </w:r>
          </w:p>
        </w:tc>
      </w:tr>
      <w:tr w14:paraId="754DA2F1">
        <w:tblPrEx>
          <w:tblBorders>
            <w:top w:val="single" w:color="9E9E9E" w:sz="4" w:space="0"/>
            <w:left w:val="single" w:color="9E9E9E" w:sz="4" w:space="0"/>
            <w:bottom w:val="single" w:color="9E9E9E" w:sz="4" w:space="0"/>
            <w:right w:val="single" w:color="9E9E9E" w:sz="4" w:space="0"/>
            <w:insideH w:val="single" w:color="9E9E9E" w:sz="4" w:space="0"/>
            <w:insideV w:val="single" w:color="9E9E9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F82853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0.5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2FBF55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0.6393 (+0.0462)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CC0F25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0.5714 (-0.0217)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6DF49A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0.5097 (-0.0834)</w:t>
            </w:r>
          </w:p>
        </w:tc>
      </w:tr>
      <w:tr w14:paraId="539FB1DD">
        <w:tblPrEx>
          <w:tblBorders>
            <w:top w:val="single" w:color="9E9E9E" w:sz="4" w:space="0"/>
            <w:left w:val="single" w:color="9E9E9E" w:sz="4" w:space="0"/>
            <w:bottom w:val="single" w:color="9E9E9E" w:sz="4" w:space="0"/>
            <w:right w:val="single" w:color="9E9E9E" w:sz="4" w:space="0"/>
            <w:insideH w:val="single" w:color="9E9E9E" w:sz="4" w:space="0"/>
            <w:insideV w:val="single" w:color="9E9E9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70E014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1.0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5121BB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0.5605 (-0.0326)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87BAD5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0.5931 (+0.0000)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17442F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0.5585 (-0.0345)</w:t>
            </w:r>
          </w:p>
        </w:tc>
      </w:tr>
      <w:tr w14:paraId="027C456F">
        <w:tblPrEx>
          <w:tblBorders>
            <w:top w:val="single" w:color="9E9E9E" w:sz="4" w:space="0"/>
            <w:left w:val="single" w:color="9E9E9E" w:sz="4" w:space="0"/>
            <w:bottom w:val="single" w:color="9E9E9E" w:sz="4" w:space="0"/>
            <w:right w:val="single" w:color="9E9E9E" w:sz="4" w:space="0"/>
            <w:insideH w:val="single" w:color="9E9E9E" w:sz="4" w:space="0"/>
            <w:insideV w:val="single" w:color="9E9E9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774F9E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2.0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361C30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0.4868 (-0.1063)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E45BB0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0.5346 (-0.0585)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9E71B0">
            <w:pPr>
              <w:spacing w:after="2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eastAsia="Arial" w:cs="Arial"/>
                <w:b w:val="0"/>
                <w:color w:val="000000"/>
                <w:sz w:val="17"/>
              </w:rPr>
              <w:t>0.5572 (-0.0359)</w:t>
            </w:r>
          </w:p>
        </w:tc>
      </w:tr>
    </w:tbl>
    <w:p w14:paraId="7480544A">
      <w:pPr>
        <w:pStyle w:val="169"/>
        <w:rPr>
          <w:color w:val="auto"/>
        </w:rPr>
      </w:pPr>
      <w:r>
        <w:rPr>
          <w:rFonts w:ascii="Arial" w:hAnsi="Arial"/>
          <w:b/>
          <w:color w:val="auto"/>
          <w:sz w:val="18"/>
        </w:rPr>
        <w:t>Notes on interpretation</w:t>
      </w:r>
    </w:p>
    <w:p w14:paraId="7A2E9816">
      <w:pPr>
        <w:pStyle w:val="169"/>
        <w:rPr>
          <w:color w:val="auto"/>
        </w:rPr>
      </w:pPr>
      <w:r>
        <w:rPr>
          <w:rFonts w:cs="Arial"/>
          <w:color w:val="auto"/>
        </w:rPr>
        <w:t>Removing bottleneck pressure lowers Spearman relative to the default on the stress-test generator. The bottleneck term is useful in the synthetic regime where labels encode bottleneck protection.</w:t>
      </w:r>
    </w:p>
    <w:p w14:paraId="688D88D7">
      <w:pPr>
        <w:pStyle w:val="169"/>
        <w:rPr>
          <w:color w:val="auto"/>
        </w:rPr>
      </w:pPr>
      <w:r>
        <w:rPr>
          <w:rFonts w:cs="Arial"/>
          <w:color w:val="auto"/>
        </w:rPr>
        <w:t>Moderate-to-strong redundancy and bottleneck weights remain competitive on the structural stress-test. The stress-test behavior is not a single-point hyperparameter artifact.</w:t>
      </w:r>
    </w:p>
    <w:p w14:paraId="18C77BE5">
      <w:pPr>
        <w:pStyle w:val="169"/>
        <w:rPr>
          <w:color w:val="auto"/>
        </w:rPr>
      </w:pPr>
      <w:r>
        <w:rPr>
          <w:rFonts w:cs="Arial"/>
          <w:color w:val="auto"/>
        </w:rPr>
        <w:t>PRM800K still favors w_struct and the Ridge approximation. QP is reserved for high-structure-conflict settings; Ridge is recommended when learned fidelity is already strong.</w:t>
      </w:r>
    </w:p>
    <w:p w14:paraId="37E8C739">
      <w:pPr>
        <w:rPr>
          <w:color w:val="auto"/>
        </w:rPr>
      </w:pPr>
    </w:p>
    <w:p w14:paraId="782FB709">
      <w:pPr>
        <w:pStyle w:val="3"/>
        <w:rPr>
          <w:color w:val="auto"/>
        </w:rPr>
      </w:pPr>
      <w:r>
        <w:rPr>
          <w:rFonts w:ascii="Arial" w:hAnsi="Arial" w:eastAsia="Arial" w:cs="Arial"/>
          <w:color w:val="auto"/>
        </w:rPr>
        <w:t>PRM800K Variant and Audit Readout</w:t>
      </w:r>
    </w:p>
    <w:p w14:paraId="598DD299">
      <w:pPr>
        <w:rPr>
          <w:color w:val="auto"/>
        </w:rPr>
      </w:pPr>
      <w:r>
        <w:rPr>
          <w:rFonts w:eastAsia="Arial" w:cs="Arial"/>
          <w:color w:val="auto"/>
        </w:rPr>
        <w:t>The strongest real-data signal is w_struct. SC-FMA Ridge is a preservation-with-decomposition approximation: it closely preserves w_struct while exposing fidelity, structural necessity, redundancy, and bottleneck fields for audit cards. QP remains useful for controlled structural-conflict settings but is downgraded on PRM800K.</w:t>
      </w:r>
    </w:p>
    <w:p w14:paraId="30D51B03">
      <w:pPr>
        <w:pStyle w:val="168"/>
        <w:rPr>
          <w:color w:val="auto"/>
        </w:rPr>
      </w:pPr>
      <w:r>
        <w:rPr>
          <w:rFonts w:cs="Arial"/>
          <w:color w:val="auto"/>
        </w:rPr>
        <w:t>Table S5. PRM800K variant comparison</w:t>
      </w:r>
    </w:p>
    <w:tbl>
      <w:tblPr>
        <w:tblStyle w:val="33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 w:color="000000"/>
          <w:bottom w:val="single" w:sz="4" w:space="0" w:color="000000"/>
          <w:insideH w:val="single" w:sz="4" w:space="0" w:color="000000"/>
          <w:left w:val="single" w:sz="4" w:space="0" w:color="000000"/>
          <w:right w:val="single" w:sz="4" w:space="0" w:color="000000"/>
          <w:insideV w:val="single" w:sz="4" w:space="0" w:color="000000"/>
        </w:tblBorders>
      </w:tblPr>
      <w:tblGrid>
        <w:gridCol w:w="2100"/>
        <w:gridCol w:w="1600"/>
        <w:gridCol w:w="6164"/>
      </w:tblGrid>
      <w:tr w14:paraId="0C388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5"/>
              </w:rPr>
              <w:t>Method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Mean Spearman</w:t>
            </w:r>
          </w:p>
        </w:tc>
        <w:tc>
          <w:tcPr>
            <w:tcW w:w="61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Audit interpretation</w:t>
            </w:r>
          </w:p>
        </w:tc>
      </w:tr>
      <w:tr w14:paraId="0428C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w_struct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0.611</w:t>
            </w:r>
          </w:p>
        </w:tc>
        <w:tc>
          <w:tcPr>
            <w:tcW w:w="61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Primary PRM800K step-ranking signal</w:t>
            </w:r>
          </w:p>
        </w:tc>
      </w:tr>
      <w:tr w14:paraId="7A0A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SC-FMA Ridge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0.604</w:t>
            </w:r>
          </w:p>
        </w:tc>
        <w:tc>
          <w:tcPr>
            <w:tcW w:w="61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Closest SC-FMA preservation-with-decomposition approximation</w:t>
            </w:r>
          </w:p>
        </w:tc>
      </w:tr>
      <w:tr w14:paraId="4A692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SC-FMA QP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0.442</w:t>
            </w:r>
          </w:p>
        </w:tc>
        <w:tc>
          <w:tcPr>
            <w:tcW w:w="61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Downgraded on PRM800K; audit context on this stage</w:t>
            </w:r>
          </w:p>
        </w:tc>
      </w:tr>
      <w:tr w14:paraId="244A2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SC-FMA Projection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-0.135</w:t>
            </w:r>
          </w:p>
        </w:tc>
        <w:tc>
          <w:tcPr>
            <w:tcW w:w="61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Weakest SC-FMA variant on this stage</w:t>
            </w:r>
          </w:p>
        </w:tc>
      </w:tr>
      <w:tr w14:paraId="33544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Frozen PRM prefix score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0.252</w:t>
            </w:r>
          </w:p>
        </w:tc>
        <w:tc>
          <w:tcPr>
            <w:tcW w:w="61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In-distribution baseline context</w:t>
            </w:r>
          </w:p>
        </w:tc>
      </w:tr>
      <w:tr>
        <w:tc>
          <w:tcPr>
            <w:tcW w:type="dxa" w:w="21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Raw local utility</w:t>
            </w:r>
          </w:p>
        </w:tc>
        <w:tc>
          <w:tcPr>
            <w:tcW w:type="dxa" w:w="16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-0.077</w:t>
            </w:r>
          </w:p>
        </w:tc>
        <w:tc>
          <w:tcPr>
            <w:tcW w:type="dxa" w:w="616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Negative direct ablation on PRM800K</w:t>
            </w:r>
          </w:p>
        </w:tc>
      </w:tr>
      <w:tr>
        <w:tc>
          <w:tcPr>
            <w:tcW w:type="dxa" w:w="21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Simple average (CIU + necessity)</w:t>
            </w:r>
          </w:p>
        </w:tc>
        <w:tc>
          <w:tcPr>
            <w:tcW w:type="dxa" w:w="16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-0.443</w:t>
            </w:r>
          </w:p>
        </w:tc>
        <w:tc>
          <w:tcPr>
            <w:tcW w:type="dxa" w:w="616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Independent feature-average baseline</w:t>
            </w:r>
          </w:p>
        </w:tc>
      </w:tr>
      <w:tr>
        <w:tc>
          <w:tcPr>
            <w:tcW w:type="dxa" w:w="21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5"/>
              </w:rPr>
              <w:t>Random</w:t>
            </w:r>
          </w:p>
        </w:tc>
        <w:tc>
          <w:tcPr>
            <w:tcW w:type="dxa" w:w="16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0.006</w:t>
            </w:r>
          </w:p>
        </w:tc>
        <w:tc>
          <w:tcPr>
            <w:tcW w:type="dxa" w:w="616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5"/>
              </w:rPr>
              <w:t>Seeded sanity control</w:t>
            </w:r>
          </w:p>
        </w:tc>
      </w:tr>
    </w:tbl>
    <w:p w14:paraId="43B7DC63">
      <w:pPr>
        <w:rPr>
          <w:color w:val="auto"/>
        </w:rPr>
      </w:pPr>
    </w:p>
    <w:p w14:paraId="7F8EA2EB">
      <w:pPr>
        <w:pStyle w:val="3"/>
        <w:rPr>
          <w:color w:val="auto"/>
        </w:rPr>
      </w:pPr>
      <w:r>
        <w:rPr>
          <w:rFonts w:ascii="Arial" w:hAnsi="Arial" w:eastAsia="Arial" w:cs="Arial"/>
          <w:color w:val="auto"/>
        </w:rPr>
        <w:t>WebQSP Fixed-Schema Trace-Audit Diagnostic</w:t>
      </w:r>
    </w:p>
    <w:p w14:paraId="1E0D1339">
      <w:pPr>
        <w:rPr>
          <w:color w:val="auto"/>
        </w:rPr>
      </w:pPr>
      <w:r>
        <w:rPr>
          <w:rFonts w:eastAsia="Arial" w:cs="Arial"/>
          <w:color w:val="auto"/>
        </w:rPr>
        <w:t>Development used 494 train traces and 2,964 steps. The locked diagnostic used 1,627 test traces and 9,762 steps. Data-audit counts for missing entities, disconnected subgraphs, duplicate traces, and invalid logical forms are recorded before metric computation.</w:t>
      </w:r>
    </w:p>
    <w:p w14:paraId="76A7434D">
      <w:pPr>
        <w:pStyle w:val="168"/>
        <w:rPr>
          <w:color w:val="auto"/>
        </w:rPr>
      </w:pPr>
      <w:r>
        <w:rPr>
          <w:rFonts w:cs="Arial"/>
          <w:color w:val="auto"/>
        </w:rPr>
        <w:t>Table S6. WebQSP fixed-schema trace-audit diagnostic</w:t>
      </w:r>
    </w:p>
    <w:tbl>
      <w:tblPr>
        <w:tblStyle w:val="33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 w:color="000000"/>
          <w:bottom w:val="single" w:sz="4" w:space="0" w:color="000000"/>
          <w:insideH w:val="single" w:sz="4" w:space="0" w:color="000000"/>
          <w:left w:val="single" w:sz="4" w:space="0" w:color="000000"/>
          <w:right w:val="single" w:sz="4" w:space="0" w:color="000000"/>
          <w:insideV w:val="single" w:sz="4" w:space="0" w:color="000000"/>
        </w:tblBorders>
      </w:tblPr>
      <w:tblGrid>
        <w:gridCol w:w="2300"/>
        <w:gridCol w:w="1450"/>
        <w:gridCol w:w="1450"/>
        <w:gridCol w:w="4664"/>
      </w:tblGrid>
      <w:tr w14:paraId="5AEEF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Spearman rho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Pairwise accuracy</w:t>
            </w:r>
          </w:p>
        </w:tc>
        <w:tc>
          <w:tcPr>
            <w:tcW w:w="46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NDCG@25%</w:t>
            </w:r>
          </w:p>
        </w:tc>
      </w:tr>
      <w:tr w14:paraId="6B06E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Raw rule delta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  <w:tc>
          <w:tcPr>
            <w:tcW w:w="46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</w:tr>
      <w:tr w14:paraId="2E936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SC-FMA Ridge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0.878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  <w:tc>
          <w:tcPr>
            <w:tcW w:w="46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</w:tr>
      <w:tr w14:paraId="3342E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SC-FMA QP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0.526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0.799</w:t>
            </w:r>
          </w:p>
        </w:tc>
        <w:tc>
          <w:tcPr>
            <w:tcW w:w="46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0.808</w:t>
            </w:r>
          </w:p>
        </w:tc>
      </w:tr>
      <w:tr w14:paraId="638E2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Relative position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0.293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0.667</w:t>
            </w:r>
          </w:p>
        </w:tc>
        <w:tc>
          <w:tcPr>
            <w:tcW w:w="46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</w:tr>
      <w:tr w14:paraId="26926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Random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-0.007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0.496</w:t>
            </w:r>
          </w:p>
        </w:tc>
        <w:tc>
          <w:tcPr>
            <w:tcW w:w="46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0.582</w:t>
            </w:r>
          </w:p>
        </w:tc>
      </w:tr>
      <w:tr w14:paraId="1F21F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6"/>
              </w:rPr>
              <w:t>Graph degree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-0.726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0.111</w:t>
            </w:r>
          </w:p>
        </w:tc>
        <w:tc>
          <w:tcPr>
            <w:tcW w:w="46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0.493</w:t>
            </w:r>
          </w:p>
        </w:tc>
      </w:tr>
    </w:tbl>
    <w:p w14:paraId="7593344C">
      <w:pPr>
        <w:rPr>
          <w:color w:val="auto"/>
        </w:rPr>
      </w:pPr>
    </w:p>
    <w:p w14:paraId="2B4A2BDD">
      <w:pPr>
        <w:spacing w:after="40" w:line="240" w:lineRule="auto"/>
        <w:rPr>
          <w:color w:val="auto"/>
        </w:rPr>
      </w:pPr>
      <w:r>
        <w:rPr>
          <w:rFonts w:eastAsia="Arial" w:cs="Arial"/>
          <w:color w:val="auto"/>
        </w:rPr>
        <w:t>Safe interpretation: the fixed six-step schema makes replay-derived importance largely separable by step role and position, making complex policy optimization redundant under this schema. This is a transferability and evaluation-confound diagnostic, not evidence that SC-FMA improves KGQA, semantic parsing, or live KBS maintenance.</w:t>
      </w:r>
    </w:p>
    <w:p w14:paraId="5781989F">
      <w:pPr>
        <w:pStyle w:val="3"/>
        <w:rPr>
          <w:color w:val="auto"/>
        </w:rPr>
      </w:pPr>
      <w:r>
        <w:rPr>
          <w:rFonts w:ascii="Arial" w:hAnsi="Arial" w:eastAsia="Arial" w:cs="Arial"/>
          <w:color w:val="auto"/>
        </w:rPr>
        <w:t>MuSiQue KBS-Style Knowledge-Audit Details</w:t>
      </w:r>
    </w:p>
    <w:p w14:paraId="21C8F5B6">
      <w:pPr>
        <w:spacing w:after="40" w:line="240" w:lineRule="auto"/>
        <w:rPr>
          <w:color w:val="auto"/>
        </w:rPr>
      </w:pPr>
      <w:r>
        <w:rPr>
          <w:rFonts w:eastAsia="Arial" w:cs="Arial"/>
          <w:color w:val="auto"/>
        </w:rPr>
        <w:t>The MuSiQue diagnostic constructs trace records from decomposition evidence chains. The locked split contains 1,415 samples and 12,715 steps. No API calls are used. The field-level leakage check marks the diagnostic as feasibility-only because labels and scoring features share deterministic step-type sources.</w:t>
      </w:r>
    </w:p>
    <w:p w14:paraId="35871AD0">
      <w:pPr>
        <w:pStyle w:val="168"/>
        <w:spacing w:after="20"/>
        <w:rPr>
          <w:color w:val="auto"/>
        </w:rPr>
      </w:pPr>
      <w:r>
        <w:rPr>
          <w:rFonts w:cs="Arial"/>
          <w:color w:val="auto"/>
        </w:rPr>
        <w:t>Table S7. MuSiQue KBS-style knowledge-audit feasibility demonstration</w:t>
      </w:r>
    </w:p>
    <w:tbl>
      <w:tblPr>
        <w:tblStyle w:val="33"/>
        <w:tblW w:w="98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 w:color="000000"/>
          <w:bottom w:val="single" w:sz="4" w:space="0" w:color="000000"/>
          <w:insideH w:val="single" w:sz="4" w:space="0" w:color="000000"/>
          <w:left w:val="single" w:sz="4" w:space="0" w:color="000000"/>
          <w:right w:val="single" w:sz="4" w:space="0" w:color="000000"/>
          <w:insideV w:val="single" w:sz="4" w:space="0" w:color="000000"/>
        </w:tblBorders>
      </w:tblPr>
      <w:tblGrid>
        <w:gridCol w:w="2000"/>
        <w:gridCol w:w="1300"/>
        <w:gridCol w:w="1100"/>
        <w:gridCol w:w="1300"/>
        <w:gridCol w:w="4164"/>
        <w:gridCol w:w="1152"/>
      </w:tblGrid>
      <w:tr w14:paraId="1F6FC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4"/>
              </w:rPr>
              <w:t>Method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Spearman rho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Top-1 hit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Mass@25%</w:t>
            </w:r>
          </w:p>
        </w:tc>
        <w:tc>
          <w:tcPr>
            <w:tcW w:w="41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NDCG@25%</w:t>
            </w:r>
          </w:p>
        </w:tc>
        <w:tc>
          <w:tcPr>
            <w:tcW w:type="dxa" w:w="115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AUPRC</w:t>
            </w:r>
          </w:p>
        </w:tc>
      </w:tr>
      <w:tr w14:paraId="5C021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4"/>
              </w:rPr>
              <w:t>w_struct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0.9652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0.3939</w:t>
            </w:r>
          </w:p>
        </w:tc>
        <w:tc>
          <w:tcPr>
            <w:tcW w:w="41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  <w:tc>
          <w:tcPr>
            <w:tcW w:type="dxa" w:w="115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</w:tr>
      <w:tr w14:paraId="7D448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4"/>
              </w:rPr>
              <w:t>SC-FMA Ridge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0.9653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0.3939</w:t>
            </w:r>
          </w:p>
        </w:tc>
        <w:tc>
          <w:tcPr>
            <w:tcW w:w="41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  <w:tc>
          <w:tcPr>
            <w:tcW w:type="dxa" w:w="115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</w:tr>
      <w:tr w14:paraId="00925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4"/>
              </w:rPr>
              <w:t>SC-FMA QP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0.9105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0.3939</w:t>
            </w:r>
          </w:p>
        </w:tc>
        <w:tc>
          <w:tcPr>
            <w:tcW w:w="41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  <w:tc>
          <w:tcPr>
            <w:tcW w:type="dxa" w:w="115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</w:tr>
      <w:tr w14:paraId="161D3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4"/>
              </w:rPr>
              <w:t>SC-FMA Projection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0.9111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0.2728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0.3939</w:t>
            </w:r>
          </w:p>
        </w:tc>
        <w:tc>
          <w:tcPr>
            <w:tcW w:w="41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0.9544</w:t>
            </w:r>
          </w:p>
        </w:tc>
        <w:tc>
          <w:tcPr>
            <w:tcW w:type="dxa" w:w="115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0.6364</w:t>
            </w:r>
          </w:p>
        </w:tc>
      </w:tr>
      <w:tr>
        <w:tc>
          <w:tcPr>
            <w:tcW w:type="dxa" w:w="20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4"/>
              </w:rPr>
              <w:t>Graph centrality</w:t>
            </w:r>
          </w:p>
        </w:tc>
        <w:tc>
          <w:tcPr>
            <w:tcW w:type="dxa" w:w="13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0.6573</w:t>
            </w:r>
          </w:p>
        </w:tc>
        <w:tc>
          <w:tcPr>
            <w:tcW w:type="dxa" w:w="11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  <w:tc>
          <w:tcPr>
            <w:tcW w:type="dxa" w:w="13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0.3494</w:t>
            </w:r>
          </w:p>
        </w:tc>
        <w:tc>
          <w:tcPr>
            <w:tcW w:type="dxa" w:w="416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0.8807</w:t>
            </w:r>
          </w:p>
        </w:tc>
        <w:tc>
          <w:tcPr>
            <w:tcW w:type="dxa" w:w="115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</w:tr>
      <w:tr>
        <w:tc>
          <w:tcPr>
            <w:tcW w:type="dxa" w:w="20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4"/>
              </w:rPr>
              <w:t>Simple average</w:t>
            </w:r>
          </w:p>
        </w:tc>
        <w:tc>
          <w:tcPr>
            <w:tcW w:type="dxa" w:w="13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0.8380</w:t>
            </w:r>
          </w:p>
        </w:tc>
        <w:tc>
          <w:tcPr>
            <w:tcW w:type="dxa" w:w="11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  <w:tc>
          <w:tcPr>
            <w:tcW w:type="dxa" w:w="13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0.3433</w:t>
            </w:r>
          </w:p>
        </w:tc>
        <w:tc>
          <w:tcPr>
            <w:tcW w:type="dxa" w:w="416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0.8653</w:t>
            </w:r>
          </w:p>
        </w:tc>
        <w:tc>
          <w:tcPr>
            <w:tcW w:type="dxa" w:w="115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</w:tr>
      <w:tr>
        <w:tc>
          <w:tcPr>
            <w:tcW w:type="dxa" w:w="20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4"/>
              </w:rPr>
              <w:t>Relative position</w:t>
            </w:r>
          </w:p>
        </w:tc>
        <w:tc>
          <w:tcPr>
            <w:tcW w:type="dxa" w:w="13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0.2815</w:t>
            </w:r>
          </w:p>
        </w:tc>
        <w:tc>
          <w:tcPr>
            <w:tcW w:type="dxa" w:w="11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  <w:tc>
          <w:tcPr>
            <w:tcW w:type="dxa" w:w="13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0.2243</w:t>
            </w:r>
          </w:p>
        </w:tc>
        <w:tc>
          <w:tcPr>
            <w:tcW w:type="dxa" w:w="416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0.6841</w:t>
            </w:r>
          </w:p>
        </w:tc>
        <w:tc>
          <w:tcPr>
            <w:tcW w:type="dxa" w:w="115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</w:tr>
      <w:tr>
        <w:tc>
          <w:tcPr>
            <w:tcW w:type="dxa" w:w="20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4"/>
              </w:rPr>
              <w:t>Raw local utility</w:t>
            </w:r>
          </w:p>
        </w:tc>
        <w:tc>
          <w:tcPr>
            <w:tcW w:type="dxa" w:w="13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0.7596</w:t>
            </w:r>
          </w:p>
        </w:tc>
        <w:tc>
          <w:tcPr>
            <w:tcW w:type="dxa" w:w="11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0.0000</w:t>
            </w:r>
          </w:p>
        </w:tc>
        <w:tc>
          <w:tcPr>
            <w:tcW w:type="dxa" w:w="13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0.2952</w:t>
            </w:r>
          </w:p>
        </w:tc>
        <w:tc>
          <w:tcPr>
            <w:tcW w:type="dxa" w:w="416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0.5797</w:t>
            </w:r>
          </w:p>
        </w:tc>
        <w:tc>
          <w:tcPr>
            <w:tcW w:type="dxa" w:w="115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0.3078</w:t>
            </w:r>
          </w:p>
        </w:tc>
      </w:tr>
      <w:tr>
        <w:tc>
          <w:tcPr>
            <w:tcW w:type="dxa" w:w="20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4"/>
              </w:rPr>
              <w:t>Random</w:t>
            </w:r>
          </w:p>
        </w:tc>
        <w:tc>
          <w:tcPr>
            <w:tcW w:type="dxa" w:w="13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0.0165</w:t>
            </w:r>
          </w:p>
        </w:tc>
        <w:tc>
          <w:tcPr>
            <w:tcW w:type="dxa" w:w="11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0.1152</w:t>
            </w:r>
          </w:p>
        </w:tc>
        <w:tc>
          <w:tcPr>
            <w:tcW w:type="dxa" w:w="13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0.2585</w:t>
            </w:r>
          </w:p>
        </w:tc>
        <w:tc>
          <w:tcPr>
            <w:tcW w:type="dxa" w:w="416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0.5449</w:t>
            </w:r>
          </w:p>
        </w:tc>
        <w:tc>
          <w:tcPr>
            <w:tcW w:type="dxa" w:w="115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0.3195</w:t>
            </w:r>
          </w:p>
        </w:tc>
      </w:tr>
      <w:tr>
        <w:tc>
          <w:tcPr>
            <w:tcW w:type="dxa" w:w="20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4"/>
              </w:rPr>
              <w:t>Retrieval overlap</w:t>
            </w:r>
          </w:p>
        </w:tc>
        <w:tc>
          <w:tcPr>
            <w:tcW w:type="dxa" w:w="13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-0.0589</w:t>
            </w:r>
          </w:p>
        </w:tc>
        <w:tc>
          <w:tcPr>
            <w:tcW w:type="dxa" w:w="11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0.0000</w:t>
            </w:r>
          </w:p>
        </w:tc>
        <w:tc>
          <w:tcPr>
            <w:tcW w:type="dxa" w:w="13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0.2354</w:t>
            </w:r>
          </w:p>
        </w:tc>
        <w:tc>
          <w:tcPr>
            <w:tcW w:type="dxa" w:w="416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0.4242</w:t>
            </w:r>
          </w:p>
        </w:tc>
        <w:tc>
          <w:tcPr>
            <w:tcW w:type="dxa" w:w="115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0.2561</w:t>
            </w:r>
          </w:p>
        </w:tc>
      </w:tr>
      <w:tr>
        <w:tc>
          <w:tcPr>
            <w:tcW w:type="dxa" w:w="20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sz w:val="14"/>
              </w:rPr>
              <w:t>Span length</w:t>
            </w:r>
          </w:p>
        </w:tc>
        <w:tc>
          <w:tcPr>
            <w:tcW w:type="dxa" w:w="13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-0.3216</w:t>
            </w:r>
          </w:p>
        </w:tc>
        <w:tc>
          <w:tcPr>
            <w:tcW w:type="dxa" w:w="11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0.0035</w:t>
            </w:r>
          </w:p>
        </w:tc>
        <w:tc>
          <w:tcPr>
            <w:tcW w:type="dxa" w:w="13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0.2168</w:t>
            </w:r>
          </w:p>
        </w:tc>
        <w:tc>
          <w:tcPr>
            <w:tcW w:type="dxa" w:w="416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0.3800</w:t>
            </w:r>
          </w:p>
        </w:tc>
        <w:tc>
          <w:tcPr>
            <w:tcW w:type="dxa" w:w="115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  <w:t>0.1571</w:t>
            </w:r>
          </w:p>
        </w:tc>
      </w:tr>
    </w:tbl>
    <w:p w14:paraId="79A47099">
      <w:pPr>
        <w:rPr>
          <w:color w:val="auto"/>
        </w:rPr>
      </w:pPr>
    </w:p>
    <w:p w14:paraId="348099F7">
      <w:pPr>
        <w:pStyle w:val="3"/>
        <w:spacing w:before="160"/>
        <w:rPr>
          <w:color w:val="auto"/>
        </w:rPr>
      </w:pPr>
      <w:r>
        <w:rPr>
          <w:rFonts w:ascii="Arial" w:hAnsi="Arial" w:eastAsia="Arial" w:cs="Arial"/>
          <w:color w:val="auto"/>
        </w:rPr>
        <w:t>Reproducibility Notes</w:t>
      </w:r>
    </w:p>
    <w:p w14:paraId="449F6049">
      <w:pPr>
        <w:pStyle w:val="16"/>
        <w:spacing w:line="252" w:lineRule="auto"/>
        <w:rPr>
          <w:color w:val="auto"/>
        </w:rPr>
      </w:pPr>
      <w:r>
        <w:rPr>
          <w:rFonts w:cs="Arial"/>
          <w:color w:val="auto"/>
        </w:rPr>
        <w:t>All reported diagnostics are offline and use zero API calls unless explicitly documented otherwise.</w:t>
      </w:r>
    </w:p>
    <w:p w14:paraId="313DBC45">
      <w:pPr>
        <w:pStyle w:val="16"/>
        <w:spacing w:line="252" w:lineRule="auto"/>
        <w:rPr>
          <w:color w:val="auto"/>
        </w:rPr>
      </w:pPr>
      <w:r>
        <w:rPr>
          <w:rFonts w:cs="Arial"/>
          <w:color w:val="auto"/>
        </w:rPr>
        <w:t>The controlled synthetic stage is reproducible from scripts/generate_synthetic_traces.py with fixed seeds.</w:t>
      </w:r>
    </w:p>
    <w:p w14:paraId="286C5E30">
      <w:pPr>
        <w:pStyle w:val="16"/>
        <w:spacing w:line="252" w:lineRule="auto"/>
        <w:rPr>
          <w:color w:val="auto"/>
        </w:rPr>
      </w:pPr>
      <w:r>
        <w:rPr>
          <w:rFonts w:cs="Arial"/>
          <w:color w:val="auto"/>
        </w:rPr>
        <w:t>The structural stress-test is reproducible from scripts/run_scu_stress_test.py and scripts/run_scu_hyperparameter_sensitivity.py.</w:t>
      </w:r>
    </w:p>
    <w:p w14:paraId="606616FA">
      <w:pPr>
        <w:rPr>
          <w:color w:val="auto"/>
        </w:rPr>
      </w:pPr>
      <w:r>
        <w:rPr>
          <w:rFonts w:eastAsia="Arial" w:cs="Arial"/>
          <w:color w:val="auto"/>
        </w:rPr>
        <w:t>QP hyperparameter sensitivity is reproduced with scripts/run_scu_hyperparameter_sensitivity.py. Outputs are archived as outputs/reviewer_v2_experiments/scu_hyperparameter_sensitivity/scu_hyperparameter_sensitivity.json, outputs/reviewer_v2_experiments/scu_hyperparameter_sensitivity/scu_hyperparameter_sensitivity.md, outputs/reviewer_v2_experiments/scu_hyperparameter_sensitivity/alpha_beta_grid.csv, and outputs/reviewer_v2_experiments/scu_hyperparameter_sensitivity/gamma_delta_grid.csv. The alpha/beta grid fixes gamma=0.2 and delta=0.1 and sweeps alpha in {0.5, 1.0, 2.0} by beta in {0.0, 0.5, 1.0}; it is a supplementary QP diagnostic only, not positive external validation.</w:t>
      </w:r>
    </w:p>
    <w:p w14:paraId="478C4FDC">
      <w:pPr>
        <w:pStyle w:val="16"/>
        <w:spacing w:line="252" w:lineRule="auto"/>
        <w:rPr>
          <w:color w:val="auto"/>
        </w:rPr>
      </w:pPr>
      <w:r>
        <w:rPr>
          <w:rFonts w:cs="Arial" w:ascii="Arial" w:hAnsi="Arial"/>
          <w:color w:val="auto"/>
        </w:rPr>
        <w:t>Automatic rule-derived audit-target validation is reproducible from scripts/run_audit_card_auto_validation.py and outputs/kbs_audit_card_auto_validation_v1.</w:t>
      </w:r>
    </w:p>
    <w:p w14:paraId="6CE078FF">
      <w:pPr>
        <w:pStyle w:val="16"/>
        <w:spacing w:line="252" w:lineRule="auto"/>
        <w:rPr>
          <w:color w:val="auto"/>
        </w:rPr>
      </w:pPr>
      <w:r>
        <w:rPr>
          <w:rFonts w:cs="Arial"/>
          <w:color w:val="auto"/>
        </w:rPr>
        <w:t>Embedding graph-construction ablation is reproducible from scripts/run_graph_construction_ablation.py and outputs/reviewer_v2_experiments/graph_construction_ablation.</w:t>
      </w:r>
    </w:p>
    <w:p w14:paraId="7A8EB2D0">
      <w:pPr>
        <w:pStyle w:val="16"/>
        <w:spacing w:line="252" w:lineRule="auto"/>
        <w:rPr>
          <w:color w:val="auto"/>
        </w:rPr>
      </w:pPr>
      <w:r>
        <w:rPr>
          <w:rFonts w:cs="Arial"/>
          <w:color w:val="auto"/>
        </w:rPr>
        <w:t>The WebQSP diagnostic is reproducible from scripts/run_webqsp_trace_audit.py, scripts/validate_webqsp_trace_audit.py, and scripts/analyze_webqsp_separability.py.</w:t>
      </w:r>
    </w:p>
    <w:p w14:paraId="4F6ED038">
      <w:pPr>
        <w:pStyle w:val="16"/>
        <w:spacing w:line="252" w:lineRule="auto"/>
        <w:rPr>
          <w:color w:val="auto"/>
        </w:rPr>
      </w:pPr>
      <w:r>
        <w:rPr>
          <w:rFonts w:cs="Arial"/>
          <w:color w:val="auto"/>
        </w:rPr>
        <w:t>The Countries-KG typed-edge stage is reproducible from src/fma/graph/kg_ontology_pilot.py and outputs/kbs_ontology_edge_pilot/kg_pilot_report.json.</w:t>
      </w:r>
    </w:p>
    <w:p w14:paraId="6936DB85">
      <w:pPr>
        <w:pStyle w:val="3"/>
        <w:rPr>
          <w:color w:val="auto"/>
        </w:rPr>
      </w:pPr>
      <w:r>
        <w:rPr>
          <w:rFonts w:ascii="Arial" w:hAnsi="Arial" w:eastAsia="Arial" w:cs="Arial"/>
          <w:color w:val="auto"/>
        </w:rPr>
        <w:t>Claim Boundary Summary</w:t>
      </w:r>
    </w:p>
    <w:p w14:paraId="78905BB9">
      <w:pPr>
        <w:rPr>
          <w:color w:val="auto"/>
        </w:rPr>
      </w:pPr>
      <w:r>
        <w:rPr>
          <w:rFonts w:eastAsia="Arial" w:cs="Arial"/>
          <w:color w:val="auto"/>
        </w:rPr>
        <w:t>This supplementary file supports the manuscript title: Structurally-Calibrated Functional Attribution for Audit Prioritization in Knowledge-Intensive Reasoning</w:t>
      </w:r>
    </w:p>
    <w:p w14:paraId="551BC350">
      <w:pPr>
        <w:rPr>
          <w:color w:val="auto"/>
        </w:rPr>
      </w:pPr>
      <w:r>
        <w:rPr>
          <w:rFonts w:eastAsia="Arial" w:cs="Arial" w:ascii="Arial" w:hAnsi="Arial"/>
          <w:color w:val="auto"/>
        </w:rPr>
        <w:t>Allowed: bounded KBS-facing audit-prioritization methodology; PRM800K-like step-label ranking and audit context; zero-human rule-derived audit-target validation for decomposition information recovery; graph-interface ablation with Sentence-BERT embeddings; diagnostic WebQSP and Countries-KG typed-edge stages; MuSiQue feasibility demonstration.</w:t>
      </w:r>
    </w:p>
    <w:p w14:paraId="2520BEB0">
      <w:pPr>
        <w:rPr>
          <w:color w:val="auto"/>
        </w:rPr>
      </w:pPr>
      <w:r>
        <w:rPr>
          <w:rFonts w:eastAsia="Arial" w:cs="Arial"/>
          <w:color w:val="auto"/>
        </w:rPr>
        <w:t>Not claimed: downstream PRM/filtering gains, GSM8K/HotpotQA replay-pass evidence, WebQSP KGQA improvement, production knowledge-base deployment validation, MuSiQue-derived independent proof, human-subject evidence, or human-performance improvement.</w:t>
      </w:r>
    </w:p>
    <w:p w14:paraId="74402B9E">
      <w:pPr>
        <w:pStyle w:val="3"/>
        <w:rPr>
          <w:color w:val="auto"/>
        </w:rPr>
      </w:pPr>
      <w:r>
        <w:rPr>
          <w:rFonts w:ascii="Arial" w:hAnsi="Arial" w:eastAsia="Arial" w:cs="Arial"/>
          <w:color w:val="auto"/>
        </w:rPr>
        <w:t>Revision-Specific Boundary Notes</w:t>
      </w:r>
    </w:p>
    <w:p w14:paraId="5CD649C1">
      <w:pPr>
        <w:pStyle w:val="16"/>
        <w:spacing w:line="252" w:lineRule="auto"/>
        <w:rPr>
          <w:color w:val="auto"/>
        </w:rPr>
      </w:pPr>
      <w:r>
        <w:rPr>
          <w:rFonts w:cs="Arial"/>
          <w:color w:val="auto"/>
        </w:rPr>
        <w:t>SCU component contribution on a structural stress-test benchmark: the stress-test labels explicitly encode redundancy-awareness and bottleneck-protection, so QP gains are interpreted as intended behavior in a designed regime, not general ranking superiority.</w:t>
      </w:r>
    </w:p>
    <w:p w14:paraId="23D8469C">
      <w:pPr>
        <w:pStyle w:val="16"/>
        <w:spacing w:line="252" w:lineRule="auto"/>
        <w:rPr>
          <w:color w:val="auto"/>
        </w:rPr>
      </w:pPr>
      <w:r>
        <w:rPr>
          <w:rFonts w:cs="Arial"/>
          <w:color w:val="auto"/>
        </w:rPr>
        <w:t>Countries-KG Typed-Edge Stage: the Countries-KG typed-edge stage is a typed-edge construction stage only; it does not validate live KBS deployment, KGQA accuracy, semantic parsing, or maintenance outcomes.</w:t>
      </w:r>
    </w:p>
    <w:p w14:paraId="3B198BD0">
      <w:pPr>
        <w:pStyle w:val="16"/>
        <w:spacing w:line="252" w:lineRule="auto"/>
        <w:rPr>
          <w:color w:val="auto"/>
        </w:rPr>
      </w:pPr>
      <w:r>
        <w:rPr>
          <w:rFonts w:cs="Arial" w:ascii="Arial" w:hAnsi="Arial"/>
          <w:color w:val="auto"/>
        </w:rPr>
        <w:t>Rule-derived audit-target validation: targets are derived from PRM800K labels, ranking disagreement, redundancy density, bottleneck flags, and failure-taxonomy rules. Weak utility-anchor targets have no or low circularity; redundancy consolidation, bottleneck protection, and structural over-correction have partial circularity and support automatic information recovery only.</w:t>
      </w:r>
    </w:p>
    <w:p w14:paraId="5E158CCB">
      <w:pPr>
        <w:pStyle w:val="16"/>
        <w:spacing w:line="252" w:lineRule="auto"/>
        <w:rPr>
          <w:color w:val="auto"/>
        </w:rPr>
      </w:pPr>
      <w:r>
        <w:rPr>
          <w:rFonts w:cs="Arial" w:ascii="Arial" w:hAnsi="Arial"/>
          <w:color w:val="auto"/>
        </w:rPr>
        <w:t>The w_struct regressor is a frozen Ridge model; the archived model JSON records the exact feature names and leakage checks.</w:t>
      </w:r>
    </w:p>
    <w:sectPr>
      <w:footerReference r:id="rId5" w:type="default"/>
      <w:pgSz w:w="11906" w:h="16838"/>
      <w:pgMar w:top="1020" w:right="1020" w:bottom="1020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2FBB2">
    <w:pPr>
      <w:pStyle w:val="24"/>
      <w:jc w:val="center"/>
    </w:pPr>
    <w:r>
      <w:rPr>
        <w:color w:val="5A5A5A"/>
        <w:sz w:val="16"/>
      </w:rPr>
      <w:t>Supplementary Material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780F"/>
    <w:rsid w:val="0015074B"/>
    <w:rsid w:val="0029639D"/>
    <w:rsid w:val="00326F90"/>
    <w:rsid w:val="00377168"/>
    <w:rsid w:val="007C0521"/>
    <w:rsid w:val="00AA1D8D"/>
    <w:rsid w:val="00B47730"/>
    <w:rsid w:val="00CB0664"/>
    <w:rsid w:val="00FC693F"/>
    <w:rsid w:val="0D3B04E2"/>
    <w:rsid w:val="77C0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9" w:lineRule="auto"/>
    </w:pPr>
    <w:rPr>
      <w:rFonts w:ascii="Arial" w:hAnsi="Arial" w:eastAsiaTheme="minorEastAsia" w:cstheme="minorBidi"/>
      <w:color w:val="1919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4E79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60"/>
      <w:ind w:hanging="216"/>
      <w:contextualSpacing/>
    </w:pPr>
    <w:rPr>
      <w:rFonts w:eastAsia="Arial"/>
      <w:sz w:val="19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KBS Title"/>
    <w:basedOn w:val="1"/>
    <w:qFormat/>
    <w:uiPriority w:val="0"/>
    <w:pPr>
      <w:spacing w:after="120" w:line="252" w:lineRule="auto"/>
      <w:jc w:val="center"/>
    </w:pPr>
    <w:rPr>
      <w:rFonts w:eastAsia="Arial"/>
      <w:b/>
      <w:color w:val="000000"/>
      <w:sz w:val="28"/>
    </w:rPr>
  </w:style>
  <w:style w:type="paragraph" w:customStyle="1" w:styleId="165">
    <w:name w:val="KBS Authors"/>
    <w:basedOn w:val="1"/>
    <w:qFormat/>
    <w:uiPriority w:val="0"/>
    <w:pPr>
      <w:spacing w:after="200" w:line="252" w:lineRule="auto"/>
    </w:pPr>
    <w:rPr>
      <w:rFonts w:eastAsia="Arial"/>
      <w:color w:val="2D2D2D"/>
    </w:rPr>
  </w:style>
  <w:style w:type="paragraph" w:customStyle="1" w:styleId="166">
    <w:name w:val="KBS Abstract"/>
    <w:basedOn w:val="1"/>
    <w:qFormat/>
    <w:uiPriority w:val="0"/>
    <w:pPr>
      <w:spacing w:after="100" w:line="252" w:lineRule="auto"/>
    </w:pPr>
    <w:rPr>
      <w:rFonts w:eastAsia="Arial"/>
      <w:color w:val="1E1E1E"/>
      <w:sz w:val="19"/>
    </w:rPr>
  </w:style>
  <w:style w:type="paragraph" w:customStyle="1" w:styleId="167">
    <w:name w:val="KBS Keywords"/>
    <w:basedOn w:val="1"/>
    <w:qFormat/>
    <w:uiPriority w:val="0"/>
    <w:pPr>
      <w:spacing w:after="160" w:line="252" w:lineRule="auto"/>
    </w:pPr>
    <w:rPr>
      <w:rFonts w:eastAsia="Arial"/>
      <w:color w:val="1E1E1E"/>
      <w:sz w:val="19"/>
    </w:rPr>
  </w:style>
  <w:style w:type="paragraph" w:customStyle="1" w:styleId="168">
    <w:name w:val="KBS Caption"/>
    <w:basedOn w:val="1"/>
    <w:qFormat/>
    <w:uiPriority w:val="0"/>
    <w:pPr>
      <w:spacing w:after="60" w:line="252" w:lineRule="auto"/>
    </w:pPr>
    <w:rPr>
      <w:rFonts w:eastAsia="Arial"/>
      <w:b/>
      <w:color w:val="1F4E79"/>
      <w:sz w:val="18"/>
    </w:rPr>
  </w:style>
  <w:style w:type="paragraph" w:customStyle="1" w:styleId="169">
    <w:name w:val="KBS Note"/>
    <w:basedOn w:val="1"/>
    <w:qFormat/>
    <w:uiPriority w:val="0"/>
    <w:pPr>
      <w:spacing w:after="100" w:line="252" w:lineRule="auto"/>
    </w:pPr>
    <w:rPr>
      <w:rFonts w:eastAsia="Arial"/>
      <w:color w:val="232323"/>
      <w:sz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1318</Words>
  <Characters>10561</Characters>
  <Lines>319</Lines>
  <Paragraphs>222</Paragraphs>
  <TotalTime>3</TotalTime>
  <ScaleCrop>false</ScaleCrop>
  <LinksUpToDate>false</LinksUpToDate>
  <CharactersWithSpaces>11657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Haoran Ma; Ningning Wang</dc:creator>
  <dc:description/>
  <cp:keywords>SC-FMA; audit prioritization; rule-derived audit-target validation; graph construction</cp:keywords>
  <cp:lastModifiedBy>Haoran Ma; Ningning Wang</cp:lastModifiedBy>
  <dcterms:modified xsi:type="dcterms:W3CDTF">2026-07-02T04:20:17Z</dcterms:modified>
  <dc:subject>Supplementary material</dc:subject>
  <dc:title>Supplementary Material for Structurally-Calibrated Functional Attribution for Audit Prioritization in Knowledge-Intensive Reasoning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eyJoZGlkIjoiY2I4MTYwNjFlODA2MzBlMWZhZGRjMTcxMzU0Y2ZhMjkiLCJ1c2VySWQiOiIyMzU5ODcyOTEifQ==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8A70AD835846419AB2CD4DB6CAE2BCD2_12</vt:lpwstr>
  </property>
</Properties>
</file>