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0"/>
        </w:rPr>
        <w:t>Supplementary Material for Structurally-Calibrated Functional Attribution for Audit Prioritization in Knowledge-Intensive Reasoning</w:t>
      </w:r>
    </w:p>
    <w:p>
      <w:pPr>
        <w:jc w:val="center"/>
      </w:pPr>
      <w:r>
        <w:rPr>
          <w:rFonts w:ascii="Arial" w:hAnsi="Arial"/>
          <w:sz w:val="20"/>
        </w:rPr>
        <w:t>Haoran Ma; Ningning Wang</w:t>
      </w:r>
    </w:p>
    <w:p>
      <w:pPr>
        <w:spacing w:after="120" w:line="259" w:lineRule="auto"/>
      </w:pPr>
      <w:r>
        <w:rPr>
          <w:rFonts w:ascii="Arial" w:hAnsi="Arial"/>
          <w:sz w:val="19"/>
        </w:rPr>
        <w:t>Abstract. This supplementary material records extended proof notes, method details, route-specific diagnostics, oracle auto audit-target validation, graph-construction ablations, and reproducibility information for the KBS submission package. The LaTeX source bundle remains the authoritative source for mathematical layout; this Word file is a clean readable supplement for portal upload.</w:t>
      </w:r>
    </w:p>
    <w:p>
      <w:pPr>
        <w:spacing w:after="120" w:line="259" w:lineRule="auto"/>
      </w:pPr>
      <w:r>
        <w:rPr>
          <w:rFonts w:ascii="Arial" w:hAnsi="Arial"/>
          <w:sz w:val="19"/>
        </w:rPr>
        <w:t>Keywords. supplementary material; structural calibration; audit prioritization; oracle auto validation; graph construction; reproducibility</w:t>
      </w:r>
    </w:p>
    <w:p>
      <w:pPr>
        <w:pStyle w:val="Heading1"/>
      </w:pPr>
      <w:r>
        <w:rPr>
          <w:rFonts w:ascii="Arial" w:hAnsi="Arial"/>
          <w:color w:val="1F4E79"/>
        </w:rPr>
        <w:t>Verification Boundary</w:t>
      </w:r>
    </w:p>
    <w:p>
      <w:pPr>
        <w:spacing w:after="120" w:line="259" w:lineRule="auto"/>
      </w:pPr>
      <w:r>
        <w:rPr>
          <w:rFonts w:ascii="Arial" w:hAnsi="Arial"/>
          <w:sz w:val="19"/>
        </w:rPr>
        <w:t>MuSiQue KBS-style Knowledge-Audit Details</w:t>
      </w:r>
    </w:p>
    <w:p>
      <w:pPr>
        <w:spacing w:after="120" w:line="259" w:lineRule="auto"/>
      </w:pPr>
      <w:r>
        <w:rPr>
          <w:rFonts w:ascii="Arial" w:hAnsi="Arial"/>
          <w:sz w:val="19"/>
        </w:rPr>
        <w:t>kbs_style_audit_prioritization_evidence_only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MuSiQue route is reported as a constructed-label feasibility demonstration only because audit labels and scoring features are deterministic functions of step type. It is not used as independent audit-prioritization evidence.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WebQSP route is reported as a supplementary fixed-schema trace-audit diagnostic. It is not KGQA accuracy evidence, semantic parsing evidence, entity-linking evidence, or production KBS validation.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oracle auto audit-target validation is zero-human: human_subjects=false, human_efficiency_claim=false, validated_kbs_workflow=false, evidence_level=oracle_auto_audit_validation. It supports decision traceability and automatic information recovery, not human-performance claims.</w:t>
      </w:r>
    </w:p>
    <w:p>
      <w:pPr>
        <w:pStyle w:val="Heading1"/>
      </w:pPr>
      <w:r>
        <w:rPr>
          <w:rFonts w:ascii="Arial" w:hAnsi="Arial"/>
          <w:color w:val="1F4E79"/>
        </w:rPr>
        <w:t>Supplementary Evidence Map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Route</w:t>
            </w:r>
          </w:p>
        </w:tc>
        <w:tc>
          <w:tcPr>
            <w:tcW w:type="dxa" w:w="266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Artifact</w:t>
            </w:r>
          </w:p>
        </w:tc>
        <w:tc>
          <w:tcPr>
            <w:tcW w:type="dxa" w:w="14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Status</w:t>
            </w:r>
          </w:p>
        </w:tc>
        <w:tc>
          <w:tcPr>
            <w:tcW w:type="dxa" w:w="32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Allowed interpretation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Synthetic structural stress-test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scripts/run_scu_stress_test.py; outputs/reviewer_v2_experiments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mechanism ablation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QP behavior under designed structural conflict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PRM800K locked split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outputs/real_task_v3_6_prm800k_hash; v3.8 PRM context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positive within boundary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real step-label ranking and PRM800K-like audit prioritization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Oracle auto audit-target validation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outputs/kbs_audit_card_auto_validation_v1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zero-human validation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automatic failure-mode localization and decomposition information gain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Embedding graph-construction ablation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outputs/reviewer_v2_experiments/graph_construction_ablation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graph-interface ablation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TF-IDF is replaceable by semantic embeddings without changing SCU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MuSiQue decomposition route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outputs/kbs_real_audit_v1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constructed-label pipeline demonstration; no independent audit evidence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WebQSP fixed-schema route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outputs/webqsp_trace_audit_v1_train/test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diagnostic only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separability and metric-artifact diagnostic, not KGQA performance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Countries-KG pilot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outputs/kbs_ontology_edge_pilot/kg_pilot_report.json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pilot diagnostic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typed ontology edges can change structural diagnostics; validated_kbs_workflow=false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Oracle Auto Audit-Target Validation</w:t>
      </w:r>
    </w:p>
    <w:p>
      <w:pPr>
        <w:spacing w:after="120" w:line="259" w:lineRule="auto"/>
      </w:pPr>
      <w:r>
        <w:rPr>
          <w:rFonts w:ascii="Arial" w:hAnsi="Arial"/>
          <w:sz w:val="19"/>
        </w:rPr>
        <w:t>Failure-mode localization is evaluated as an information-retrieval task over traces. The scalar condition uses only the w_struct score, while the SC-FMA condition uses fidelity, structural necessity, redundancy, bottleneck status, and recommended action fields. Oracle targets are rule-derived from PRM800K labels, ranking disagreement, redundancy density, bottleneck flags, and the existing failure taxonomy; they are not human adjudications.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2376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View</w:t>
            </w:r>
          </w:p>
        </w:tc>
        <w:tc>
          <w:tcPr>
            <w:tcW w:type="dxa" w:w="122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Recall@25%</w:t>
            </w:r>
          </w:p>
        </w:tc>
        <w:tc>
          <w:tcPr>
            <w:tcW w:type="dxa" w:w="122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NDCG@25%</w:t>
            </w:r>
          </w:p>
        </w:tc>
        <w:tc>
          <w:tcPr>
            <w:tcW w:type="dxa" w:w="936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MRR</w:t>
            </w:r>
          </w:p>
        </w:tc>
        <w:tc>
          <w:tcPr>
            <w:tcW w:type="dxa" w:w="108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Top-1 hit</w:t>
            </w:r>
          </w:p>
        </w:tc>
        <w:tc>
          <w:tcPr>
            <w:tcW w:type="dxa" w:w="1152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Cost proxy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w_struct scalar only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0.235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0.353</w:t>
            </w:r>
          </w:p>
        </w:tc>
        <w:tc>
          <w:tcPr>
            <w:tcW w:type="dxa" w:w="93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0.354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0.0007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decomposition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0.699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0.978</w:t>
            </w:r>
          </w:p>
        </w:tc>
        <w:tc>
          <w:tcPr>
            <w:tcW w:type="dxa" w:w="93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0.0002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Interpretation: the decomposition fields recover rule-defined audit targets more effectively than the scalar-only view. This is decision-traceability and information-recovery evidence, not human-subject or human-efficiency evidence.</w:t>
      </w:r>
    </w:p>
    <w:p>
      <w:pPr>
        <w:pStyle w:val="Heading1"/>
      </w:pPr>
      <w:r>
        <w:rPr>
          <w:rFonts w:ascii="Arial" w:hAnsi="Arial"/>
          <w:color w:val="1F4E79"/>
        </w:rPr>
        <w:t>Graph Construction and Embedding Ablation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graph-construction ablation compares temporal-only, TF-IDF topical, Jaccard topical, Sentence-BERT embedding topical, and shuffled-topical variants under the same diagnostic protocol. The embedding route uses sentence-transformers/all-MiniLM-L6-v2 through sentence-transformers version 3.4.1 with 384-dimensional vectors. The report records the HuggingFace cache path, download/cache status, runtime status, and graph-constructor metadata.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232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Constructor</w:t>
            </w:r>
          </w:p>
        </w:tc>
        <w:tc>
          <w:tcPr>
            <w:tcW w:type="dxa" w:w="14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Spearman rho</w:t>
            </w:r>
          </w:p>
        </w:tc>
        <w:tc>
          <w:tcPr>
            <w:tcW w:type="dxa" w:w="1296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Kendall tau</w:t>
            </w:r>
          </w:p>
        </w:tc>
        <w:tc>
          <w:tcPr>
            <w:tcW w:type="dxa" w:w="136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Faithfulness</w:t>
            </w:r>
          </w:p>
        </w:tc>
        <w:tc>
          <w:tcPr>
            <w:tcW w:type="dxa" w:w="108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Edges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embedding_topical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0.0615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0.0541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0.0863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2,282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temporal_only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0.0596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0.0525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0.0507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2,098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jaccard_topical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0.0517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0.0459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0.0557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1,655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tfidf_topical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0.0515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0.0458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0.0542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1,648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shuffled_topical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0.0515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0.0458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0.0542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1,648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Interpretation: the result is graph-interface robustness evidence. TF-IDF is a lightweight default constructor; Sentence-BERT embeddings can be substituted at the graph interface. The manuscript does not claim a production graph-ranking or live KBS performance result.</w:t>
      </w:r>
    </w:p>
    <w:p>
      <w:pPr>
        <w:pStyle w:val="Heading1"/>
      </w:pPr>
      <w:r>
        <w:rPr>
          <w:rFonts w:ascii="Arial" w:hAnsi="Arial"/>
          <w:color w:val="1F4E79"/>
        </w:rPr>
        <w:t>Hyperparameter and Stress-Test Diagnostics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QP hyperparameter sensitivity grid sweeps gamma in {0.0, 0.1, 0.2, 0.5, 0.8} and delta in {0.0, 0.05, 0.1, 0.2, 0.4}. The diagnostic default is gamma=0.2 and delta=0.1. The grid is supplementary QP robustness evidence only; it is not positive external validation and does not change the PRM800K Ridge recommendation.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32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Finding</w:t>
            </w:r>
          </w:p>
        </w:tc>
        <w:tc>
          <w:tcPr>
            <w:tcW w:type="dxa" w:w="532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Interpretation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Removing bottleneck pressure lowers Spearman relative to the default on the stress-test generator.</w:t>
            </w:r>
          </w:p>
        </w:tc>
        <w:tc>
          <w:tcPr>
            <w:tcW w:type="dxa" w:w="53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The bottleneck term is useful in the synthetic regime where labels encode bottleneck protection.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Moderate-to-strong redundancy and bottleneck weights remain competitive on the structural stress-test.</w:t>
            </w:r>
          </w:p>
        </w:tc>
        <w:tc>
          <w:tcPr>
            <w:tcW w:type="dxa" w:w="53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The stress-test behavior is not a single-point hyperparameter artifact.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PRM800K still favors w_struct and the Ridge approximation.</w:t>
            </w:r>
          </w:p>
        </w:tc>
        <w:tc>
          <w:tcPr>
            <w:tcW w:type="dxa" w:w="53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QP is reserved for high-structure-conflict settings; Ridge is recommended when learned fidelity is already strong.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PRM800K Variant and Audit Readout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strongest real-data signal is w_struct. SC-FMA Ridge is a preservation-with-decomposition approximation: it closely preserves w_struct while exposing fidelity, structural necessity, redundancy, and bottleneck fields for audit cards. QP remains useful for controlled structural-conflict settings but is downgraded on PRM800K.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0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Method</w:t>
            </w:r>
          </w:p>
        </w:tc>
        <w:tc>
          <w:tcPr>
            <w:tcW w:type="dxa" w:w="158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Mean Spearman</w:t>
            </w:r>
          </w:p>
        </w:tc>
        <w:tc>
          <w:tcPr>
            <w:tcW w:type="dxa" w:w="576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Audit interpretation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w_struct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0.611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Primary PRM800K step-ranking signal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Ridge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0.604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Closest SC-FMA preservation-with-decomposition approximation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QP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0.438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Downgraded on PRM800K; reserved for structural-conflict settings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Raw local utility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0.399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Weaker direct ranking baseline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Random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Control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WebQSP Fixed-Schema Trace-Audit Diagnostic</w:t>
      </w:r>
    </w:p>
    <w:p>
      <w:pPr>
        <w:spacing w:after="120" w:line="259" w:lineRule="auto"/>
      </w:pPr>
      <w:r>
        <w:rPr>
          <w:rFonts w:ascii="Arial" w:hAnsi="Arial"/>
          <w:sz w:val="19"/>
        </w:rPr>
        <w:t>Development used 494 train traces and 2,964 steps. The locked diagnostic used 1,627 test traces and 9,762 steps. Data-audit counts for missing entities, disconnected subgraphs, duplicate traces, and invalid logical forms are recorded before metric computation.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44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Method</w:t>
            </w:r>
          </w:p>
        </w:tc>
        <w:tc>
          <w:tcPr>
            <w:tcW w:type="dxa" w:w="172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Spearman rho</w:t>
            </w:r>
          </w:p>
        </w:tc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Pairwise accuracy</w:t>
            </w:r>
          </w:p>
        </w:tc>
        <w:tc>
          <w:tcPr>
            <w:tcW w:type="dxa" w:w="172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NDCG@25%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Raw rule delta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Ridge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0.878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Relative position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0.878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0.667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QP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0.293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0.556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0.613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Graph degree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-0.878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0.111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0.387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Random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0.500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0.500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Safe interpretation: the fixed six-step schema makes replay-derived importance largely separable by step role and position, making complex policy optimization redundant under this schema. This is a transferability and evaluation-confound diagnostic, not evidence that SC-FMA improves KGQA, semantic parsing, or live KBS maintenance.</w:t>
      </w:r>
    </w:p>
    <w:p>
      <w:pPr>
        <w:pStyle w:val="Heading1"/>
      </w:pPr>
      <w:r>
        <w:rPr>
          <w:rFonts w:ascii="Arial" w:hAnsi="Arial"/>
          <w:color w:val="1F4E79"/>
        </w:rPr>
        <w:t>MuSiQue KBS-Style Knowledge-Audit Details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MuSiQue route constructs trace records from decomposition evidence chains. The locked split contains 1,415 samples and 12,715 steps. No API calls are used. The field-level leakage check marks the route as feasibility-only because labels and scoring features share deterministic step-type sources.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Method</w:t>
            </w:r>
          </w:p>
        </w:tc>
        <w:tc>
          <w:tcPr>
            <w:tcW w:type="dxa" w:w="14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Spearman rho</w:t>
            </w:r>
          </w:p>
        </w:tc>
        <w:tc>
          <w:tcPr>
            <w:tcW w:type="dxa" w:w="1152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Top-1 hit</w:t>
            </w:r>
          </w:p>
        </w:tc>
        <w:tc>
          <w:tcPr>
            <w:tcW w:type="dxa" w:w="136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NDCG@25%</w:t>
            </w:r>
          </w:p>
        </w:tc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Boundary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w_struct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0.9652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Ridge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0.9653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Raw CIU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0.9004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Random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0.0000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control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Reproducibility Notes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All reported routes are offline and use zero API calls unless explicitly documented otherwise.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synthetic benchmark is reproducible from scripts/generate_synthetic_traces.py with fixed seeds.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structural stress-test is reproducible from scripts/run_scu_stress_test.py and scripts/run_scu_hyperparameter_sensitivity.py.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Oracle auto audit-target validation is reproducible from scripts/run_audit_card_auto_validation.py and outputs/kbs_audit_card_auto_validation_v1.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Embedding graph-construction ablation is reproducible from scripts/run_graph_construction_ablation.py and outputs/reviewer_v2_experiments/graph_construction_ablation.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WebQSP diagnostic is reproducible from scripts/run_webqsp_trace_audit.py, scripts/validate_webqsp_trace_audit.py, and scripts/analyze_webqsp_separability.py.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Countries-KG pilot is reproducible from src/fma/graph/kg_ontology_pilot.py and outputs/kbs_ontology_edge_pilot/kg_pilot_report.json.</w:t>
      </w:r>
    </w:p>
    <w:p>
      <w:pPr>
        <w:pStyle w:val="Heading1"/>
      </w:pPr>
      <w:r>
        <w:rPr>
          <w:rFonts w:ascii="Arial" w:hAnsi="Arial"/>
          <w:color w:val="1F4E79"/>
        </w:rPr>
        <w:t>Claim Boundary Summary</w:t>
      </w:r>
    </w:p>
    <w:p>
      <w:pPr>
        <w:spacing w:after="120" w:line="259" w:lineRule="auto"/>
      </w:pPr>
      <w:r>
        <w:rPr>
          <w:rFonts w:ascii="Arial" w:hAnsi="Arial"/>
          <w:sz w:val="19"/>
        </w:rPr>
        <w:t>This supplementary file supports the manuscript title: Structurally-Calibrated Functional Attribution for Audit Prioritization in Knowledge-Intensive Reasoning</w:t>
      </w:r>
    </w:p>
    <w:p>
      <w:pPr>
        <w:spacing w:after="120" w:line="259" w:lineRule="auto"/>
      </w:pPr>
      <w:r>
        <w:rPr>
          <w:rFonts w:ascii="Arial" w:hAnsi="Arial"/>
          <w:sz w:val="19"/>
        </w:rPr>
        <w:t>Allowed: bounded KBS-facing audit-prioritization methodology; PRM800K-like step-label ranking and audit context; zero-human oracle auto validation for decomposition information gain; graph-interface ablation with Sentence-BERT embeddings; diagnostic WebQSP and Countries-KG routes; MuSiQue feasibility demonstration.</w:t>
      </w:r>
    </w:p>
    <w:p>
      <w:pPr>
        <w:spacing w:after="120" w:line="259" w:lineRule="auto"/>
      </w:pPr>
      <w:r>
        <w:rPr>
          <w:rFonts w:ascii="Arial" w:hAnsi="Arial"/>
          <w:sz w:val="19"/>
        </w:rPr>
        <w:t>Not claimed: downstream PRM/filtering gains, GSM8K/HotpotQA replay-pass evidence, WebQSP KGQA improvement, production knowledge-base deployment validation, MuSiQue-derived independent proof, human-subject evidence, or human-performance improvement.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Supplementary Material - KBS submission package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Structurally-Calibrated Functional Attribution for Audit Prioritization in Knowledge-Intensive Reasoning</dc:title>
  <dc:subject>Supplementary material</dc:subject>
  <dc:creator>Haoran Ma; Ningning Wang</dc:creator>
  <cp:keywords>SC-FMA; audit prioritization; oracle auto validation; graph construction</cp:keywords>
  <dc:description>generated by python-docx</dc:description>
  <cp:lastModifiedBy>Haoran Ma; Ningning Wang</cp:lastModifiedBy>
  <cp:revision>1</cp:revision>
  <dcterms:created xsi:type="dcterms:W3CDTF">2013-12-23T23:15:00Z</dcterms:created>
  <dcterms:modified xsi:type="dcterms:W3CDTF">2013-12-23T23:15:00Z</dcterms:modified>
  <cp:category/>
</cp:coreProperties>
</file>