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Supplementary Material</w:t>
      </w:r>
    </w:p>
    <w:p>
      <w:pPr>
        <w:jc w:val="center"/>
      </w:pPr>
      <w:r>
        <w:t>Structurally-Calibrated Functional Attribution for Audit Prioritization in Knowledge-Intensive Reasoning</w:t>
      </w:r>
    </w:p>
    <w:p>
      <w:pPr>
        <w:jc w:val="center"/>
      </w:pPr>
      <w:r>
        <w:t>Haoran Ma</w:t>
      </w:r>
    </w:p>
    <w:p>
      <w:pPr>
        <w:jc w:val="center"/>
      </w:pPr>
      <w:r>
        <w:t>Ningning Wang</w:t>
      </w:r>
    </w:p>
    <w:p>
      <w:r>
        <w:t>Generated from final_source/supplementary.tex after moving detailed proofs, algorithms, extended tables, PRM800K variant details, audit-prioritization details, and knowledge-intensive integration notes out of the compressed manuscript.</w:t>
      </w:r>
    </w:p>
    <w:p>
      <w:pPr>
        <w:pStyle w:val="Heading1"/>
      </w:pPr>
      <w:r>
        <w:t>Extended Proofs and Derivations</w:t>
      </w:r>
    </w:p>
    <w:p>
      <w:r>
        <w:t>This appendix provides supplementary derivations, edge-case analyses, and tightness constructions referenced in the main text. Full proofs of the variance-reduction and bottleneck-protection theorems, the bottleneck tightness construction, and SLSQP convergence diagnostics are provided in the supplementary materials (Supplementary Notes S2-S4).</w:t>
      </w:r>
    </w:p>
    <w:p>
      <w:pPr>
        <w:pStyle w:val="Heading2"/>
      </w:pPr>
      <w:r>
        <w:t>KKT Conditions for the SCU Objective</w:t>
      </w:r>
    </w:p>
    <w:p>
      <w:r>
        <w:t>The Karush-Kuhn-Tucker (KKT) conditions for the SCU constrained optimization problem (Eqs.~1-2) are:</w:t>
      </w:r>
    </w:p>
    <w:p>
      <w:r>
        <w:t>align</w:t>
      </w:r>
    </w:p>
    <w:p>
      <w:r>
        <w:t>L w_i|_w^* - _i^* - ^*  | = 0, i</w:t>
      </w:r>
    </w:p>
    <w:p>
      <w:r>
        <w:t>_i^*  |  0, i</w:t>
      </w:r>
    </w:p>
    <w:p>
      <w:r>
        <w:t>_i^*(w_i^* - )  | = 0, i</w:t>
      </w:r>
    </w:p>
    <w:p>
      <w:r>
        <w:t>w_i^*  |  , i</w:t>
      </w:r>
    </w:p>
    <w:p>
      <w:r>
        <w:t>_i=1^k w_i^*  | = 1.</w:t>
      </w:r>
    </w:p>
    <w:p>
      <w:r>
        <w:t>align</w:t>
      </w:r>
    </w:p>
    <w:p>
      <w:r>
        <w:t>The partial derivative is L / w_i = 2(w_i - c_i) + 2(w_i - n_i) + 2(Rw)_i - b_i / w_i. The multiplier ^* R (unrestricted) captures the equality constraint; _i^* 0 enforce the floor constraints. By complementary slackness, _i^* &gt; 0 only when w_i^* = . The complete derivation and case-by-case analysis of boundary solutions are provided in Supplementary Note~S2.</w:t>
      </w:r>
    </w:p>
    <w:p>
      <w:pPr>
        <w:pStyle w:val="Heading2"/>
      </w:pPr>
      <w:r>
        <w:t>Derivation of the Variance Reduction Bound</w:t>
      </w:r>
    </w:p>
    <w:p>
      <w:r>
        <w:t>The full algebraic derivation is provided in Supplementary Note~S2. The key steps are: (i) the two-term objective L_2(w) = \|w - c\|_2^2 + \|w - n\|_2^2 has unconstrained minimizer w = (c + n)/(+); (ii) variance decomposes as Var(w) = (/(+))^2Var(c) + (/(+))^2Var(n) + 2/(+)^2Cov(c, n); (iii) since Cov(c, n) 0.05-0.09 and Var(n) Var(c), the dominant shrinkage factor is /(+); (iv) projection onto the simplex W is non-expansive in variance~[wang2013projection], yielding the stated bound.</w:t>
      </w:r>
    </w:p>
    <w:p>
      <w:pPr>
        <w:pStyle w:val="Heading2"/>
      </w:pPr>
      <w:r>
        <w:t>Tightness Construction for Bottleneck Lower Bound</w:t>
      </w:r>
    </w:p>
    <w:p>
      <w:r>
        <w:t>The explicit tightness construction for the bottleneck lower-bound theorem is provided in Supplementary Note~S3.</w:t>
      </w:r>
    </w:p>
    <w:p>
      <w:r>
        <w:t>Substituting w_2 = 1 - w_1:</w:t>
      </w:r>
    </w:p>
    <w:p>
      <w:r>
        <w:t>equation</w:t>
      </w:r>
    </w:p>
    <w:p>
      <w:r>
        <w:t>L(w_1) = (+)(w_1^2 + w_1^2) - (w_1) = 2(+)w_1^2 - (w_1).</w:t>
      </w:r>
    </w:p>
    <w:p>
      <w:r>
        <w:t>equation</w:t>
      </w:r>
    </w:p>
    <w:p>
      <w:r>
        <w:t>The first-order condition:</w:t>
      </w:r>
    </w:p>
    <w:p>
      <w:r>
        <w:t>equation</w:t>
      </w:r>
    </w:p>
    <w:p>
      <w:r>
        <w:t>dLdw_1 = 4(+)w_1 - w_1 = 0 w_1^* = 4(+).</w:t>
      </w:r>
    </w:p>
    <w:p>
      <w:r>
        <w:t>equation</w:t>
      </w:r>
    </w:p>
    <w:p>
      <w:r>
        <w:t>Setting = /(4(+)) makes the floor constraint binding and the lower bound in the bottleneck lower-bound theorem exact.</w:t>
      </w:r>
    </w:p>
    <w:p>
      <w:pPr>
        <w:pStyle w:val="Heading2"/>
      </w:pPr>
      <w:r>
        <w:t>Monotonicity Violation under Redundancy</w:t>
      </w:r>
    </w:p>
    <w:p>
      <w:r>
        <w:t>The monotonicity theorem requires non-redundant steps (R_ik = R_jk for all k). When redundancy profiles differ, the term deliberately violates monotonicity. We illustrate with a minimal example.</w:t>
      </w:r>
    </w:p>
    <w:p>
      <w:r>
        <w:t>Consider k = 2 with c = (0.6, 0.4)^, n = (0.5, 0.5)^, b_1 = b_2 = 0, and:</w:t>
      </w:r>
    </w:p>
    <w:p>
      <w:r>
        <w:t>equation</w:t>
      </w:r>
    </w:p>
    <w:p>
      <w:r>
        <w:t>R = bmatrix 1.0  |  0.9 0.9  |  1.0 bmatrix.</w:t>
      </w:r>
    </w:p>
    <w:p>
      <w:r>
        <w:t>equation</w:t>
      </w:r>
    </w:p>
    <w:p>
      <w:r>
        <w:t>Here c_1 &gt; c_2 and n_1 = n_2, so by CIU alone w_1^* should exceed w_2^*.</w:t>
      </w:r>
    </w:p>
    <w:p>
      <w:r>
        <w:t>With = 1.0, = 0.5, = 0.2, = 0:</w:t>
      </w:r>
    </w:p>
    <w:p>
      <w:r>
        <w:t>equation</w:t>
      </w:r>
    </w:p>
    <w:p>
      <w:r>
        <w:t>L(w_1, w_2) = 1.0[(w_1-0.6)^2 + (w_2-0.4)^2] + 0.5[(w_1-0.5)^2 + (w_2-0.5)^2] + 0.2(w_1^2 + 20.9 w_1w_2 + w_2^2).</w:t>
      </w:r>
    </w:p>
    <w:p>
      <w:r>
        <w:t>equation</w:t>
      </w:r>
    </w:p>
    <w:p>
      <w:r>
        <w:t>Solving numerically yields w_1^* 0.47, w_2^* 0.53, i.e., w_2^* &gt; w_1^* despite c_1 &gt; c_2. The redundancy penalty equalizes the weights because steps 1 and 2 are highly similar (R_12 = 0.9), and this equalization outweighs the fidelity term. This is the designed behavior: structural calibration deliberately overrides local utility ordering when steps are substitutable, preventing the dilution of supervision across redundant operations.</w:t>
      </w:r>
    </w:p>
    <w:p>
      <w:r>
        <w:t>Quantitative analysis across the full benchmark: among step pairs with R_ij &gt; 0.7, monotonicity violations occur in 31.2% of pairs, consistent with the deliberate equalization mechanism.</w:t>
      </w:r>
    </w:p>
    <w:p>
      <w:pPr>
        <w:pStyle w:val="Heading1"/>
      </w:pPr>
      <w:r>
        <w:t>Additional Experimental Results and Figures</w:t>
      </w:r>
    </w:p>
    <w:p>
      <w:r>
        <w:t>This appendix provides extended experimental results, supplementary figures, and detailed stratum analysis that support the main-text findings.</w:t>
      </w:r>
    </w:p>
    <w:p>
      <w:pPr>
        <w:pStyle w:val="Heading2"/>
      </w:pPr>
      <w:r>
        <w:t>Full Ranking Metrics per Trace Size</w:t>
      </w:r>
    </w:p>
    <w:p>
      <w:r>
        <w:t>Table~[tab:per-size] breaks down the controlled synthetic ranking metrics by trace size (k = 3 to 8) for the three SC-FMA variants and raw CIU. Within this controlled proxy-label benchmark, SC-FMA QP is strongest at all k, with the largest gains at k 6 where redundancy effects are most pronounced.</w:t>
      </w:r>
    </w:p>
    <w:p>
      <w:r>
        <w:t>table[ht]</w:t>
      </w:r>
    </w:p>
    <w:p>
      <w:r>
        <w:rPr>
          <w:b/>
        </w:rPr>
        <w:t xml:space="preserve">Caption: </w:t>
      </w:r>
      <w:r>
        <w:t>Step importance ranking metrics stratified by trace size k. Mean Spearman over traces of each size. Standard errors in parentheses (bootstrap, 10k resamples).</w:t>
      </w:r>
    </w:p>
    <w:p>
      <w:r>
        <w:t>Method  |  k=3  |  k=4  |  k=5  |  k=6  |  k 7</w:t>
      </w:r>
    </w:p>
    <w:p>
      <w:r>
        <w:t>SC-FMA QP  |  0.582 (0.041)  |  0.601 (0.038)  |  0.615 (0.035)  |  0.622 (0.033)  |  0.634 (0.029)</w:t>
      </w:r>
    </w:p>
    <w:p>
      <w:r>
        <w:t>SC-FMA Ridge  |  0.521 (0.044)  |  0.534 (0.040)  |  0.540 (0.037)  |  0.538 (0.035)  |  0.542 (0.032)</w:t>
      </w:r>
    </w:p>
    <w:p>
      <w:r>
        <w:t>SC-FMA Proj.  |  0.328 (0.048)  |  0.341 (0.044)  |  0.345 (0.041)  |  0.339 (0.039)  |  0.342 (0.036)</w:t>
      </w:r>
    </w:p>
    <w:p>
      <w:r>
        <w:t>Raw CIU  |  0.471 (0.045)  |  0.485 (0.041)  |  0.490 (0.038)  |  0.482 (0.036)  |  0.486 (0.033)</w:t>
      </w:r>
    </w:p>
    <w:p>
      <w:r>
        <w:t>(QP - CIU)  |  +0.111  |  +0.116  |  +0.125  |  +0.140  |  +0.148</w:t>
      </w:r>
    </w:p>
    <w:p>
      <w:r>
        <w:t>table</w:t>
      </w:r>
    </w:p>
    <w:p>
      <w:r>
        <w:t>The improvement (QP - CIU) increases monotonically with k (from +0.111 at k=3 to +0.148 at k 7), consistent with the structural calibration mechanism: larger traces contain more redundancy relationships (k2 grows quadratically), and the redundancy penalty term becomes increasingly informative.</w:t>
      </w:r>
    </w:p>
    <w:p>
      <w:pPr>
        <w:pStyle w:val="Heading1"/>
      </w:pPr>
      <w:r>
        <w:t>Main-Text Material Moved to Supplementary</w:t>
      </w:r>
    </w:p>
    <w:p>
      <w:r>
        <w:t>This appendix records material that was removed from the compressed manuscript to keep the upload manuscript under the requested 20-page limit. The move is editorial only: it does not change the evidence boundary, hyperparameters, ranking metrics, or allowed claims.</w:t>
      </w:r>
    </w:p>
    <w:p>
      <w:pPr>
        <w:pStyle w:val="Heading2"/>
      </w:pPr>
      <w:r>
        <w:t>Notation and Positioning</w:t>
      </w:r>
    </w:p>
    <w:p>
      <w:r>
        <w:t>table[ht]</w:t>
      </w:r>
    </w:p>
    <w:p>
      <w:r>
        <w:rPr>
          <w:b/>
        </w:rPr>
        <w:t xml:space="preserve">Caption: </w:t>
      </w:r>
      <w:r>
        <w:t>Compact notation reference for the SC-FMA objective.</w:t>
      </w:r>
    </w:p>
    <w:p>
      <w:r>
        <w:t>Symbol  |  Meaning</w:t>
      </w:r>
    </w:p>
    <w:p>
      <w:r>
        <w:t>k  |  Number of reflective or verification steps in a trace.</w:t>
      </w:r>
    </w:p>
    <w:p>
      <w:r>
        <w:t>w  |  Calibrated step-weight vector on the probability simplex.</w:t>
      </w:r>
    </w:p>
    <w:p>
      <w:r>
        <w:t>c  |  Normalized utility or proxy-fidelity input.</w:t>
      </w:r>
    </w:p>
    <w:p>
      <w:r>
        <w:t>n  |  Normalized graph-level structural necessity.</w:t>
      </w:r>
    </w:p>
    <w:p>
      <w:r>
        <w:t>R  |  Pairwise redundancy matrix.</w:t>
      </w:r>
    </w:p>
    <w:p>
      <w:r>
        <w:t>b  |  Bottleneck indicator vector.</w:t>
      </w:r>
    </w:p>
    <w:p>
      <w:r>
        <w:t>,,,  |  Fidelity, structure, redundancy, and bottleneck weights.</w:t>
      </w:r>
    </w:p>
    <w:p>
      <w:r>
        <w:t>table</w:t>
      </w:r>
    </w:p>
    <w:p>
      <w:r>
        <w:t>SC-FMA is positioned between process supervision and graph-aware audit analysis. Process Reward Models supply step-level supervision signals; attribution methods supply local importance scores; graph diagnostics supply structural constraints. SC-FMA does not train a PRM, certify a deployment, or identify causal estimands. It calibrates an existing fidelity signal using observable trace structure.</w:t>
      </w:r>
    </w:p>
    <w:p>
      <w:pPr>
        <w:pStyle w:val="Heading2"/>
      </w:pPr>
      <w:r>
        <w:t>Structural Necessity and Optimization Algorithms</w:t>
      </w:r>
    </w:p>
    <w:p>
      <w:r>
        <w:t>algorithm[ht]</w:t>
      </w:r>
    </w:p>
    <w:p>
      <w:r>
        <w:rPr>
          <w:b/>
        </w:rPr>
        <w:t xml:space="preserve">Caption: </w:t>
      </w:r>
      <w:r>
        <w:t>Structural Necessity Computation</w:t>
      </w:r>
    </w:p>
    <w:p>
      <w:r>
        <w:t>Reflection DAG G=(V,E), node v_i, intervention mode m\Prune,Cascade,Bypass\</w:t>
      </w:r>
    </w:p>
    <w:p>
      <w:r>
        <w:t>Necessity score n_i^m</w:t>
      </w:r>
    </w:p>
    <w:p>
      <w:r>
        <w:t>Compute baseline graph utility S(G) from reachability, dependency coverage, and retained terminal support.</w:t>
      </w:r>
    </w:p>
    <w:p>
      <w:r>
        <w:t>Apply intervention m to node v_i to obtain G_-i^m.</w:t>
      </w:r>
    </w:p>
    <w:p>
      <w:r>
        <w:t>Recompute graph utility S(G_-i^m).</w:t>
      </w:r>
    </w:p>
    <w:p>
      <w:r>
        <w:t>Return n_i^m=(0,S(G)-S(G_-i^m)).</w:t>
      </w:r>
    </w:p>
    <w:p>
      <w:r>
        <w:t>algorithm</w:t>
      </w:r>
    </w:p>
    <w:p>
      <w:r>
        <w:t>algorithm[ht]</w:t>
      </w:r>
    </w:p>
    <w:p>
      <w:r>
        <w:rPr>
          <w:b/>
        </w:rPr>
        <w:t xml:space="preserve">Caption: </w:t>
      </w:r>
      <w:r>
        <w:t>SC-FMA QP Calibration</w:t>
      </w:r>
    </w:p>
    <w:p>
      <w:r>
        <w:t>c, n, R, b, hyperparameters ,,,</w:t>
      </w:r>
    </w:p>
    <w:p>
      <w:r>
        <w:t>Calibrated weights w^*</w:t>
      </w:r>
    </w:p>
    <w:p>
      <w:r>
        <w:t>Define the simplex W=\w 0,_i w_i=1\.</w:t>
      </w:r>
    </w:p>
    <w:p>
      <w:r>
        <w:t>Minimize L(w)=\|w-c\|_2^2+\|w-n\|_2^2+^-_i b_i(w_i) over W.</w:t>
      </w:r>
    </w:p>
    <w:p>
      <w:r>
        <w:t>Use the Ridge solution as a warm start when available.</w:t>
      </w:r>
    </w:p>
    <w:p>
      <w:r>
        <w:t>Return the SLSQP solution if convergence and simplex constraints pass tolerance; otherwise return the Ridge fallback.</w:t>
      </w:r>
    </w:p>
    <w:p>
      <w:r>
        <w:t>algorithm</w:t>
      </w:r>
    </w:p>
    <w:p>
      <w:pPr>
        <w:pStyle w:val="Heading2"/>
      </w:pPr>
      <w:r>
        <w:t>Hyperparameters and Ablations</w:t>
      </w:r>
    </w:p>
    <w:p>
      <w:r>
        <w:t>table[ht]</w:t>
      </w:r>
    </w:p>
    <w:p>
      <w:r>
        <w:rPr>
          <w:b/>
        </w:rPr>
        <w:t xml:space="preserve">Caption: </w:t>
      </w:r>
      <w:r>
        <w:t>Hyperparameter search grid and selected values used for the controlled synthetic benchmark.</w:t>
      </w:r>
    </w:p>
    <w:p>
      <w:r>
        <w:t>Parameter  |  Search range  |  Selected value  |  Role</w:t>
      </w:r>
    </w:p>
    <w:p>
      <w:r>
        <w:t xml:space="preserve"> |  \0.1,0.5,1.0,2.0\  |  1.0  |  Fidelity to supplied utility anchor.</w:t>
      </w:r>
    </w:p>
    <w:p>
      <w:r>
        <w:t xml:space="preserve"> |  \0.0,0.25,0.5,1.0\  |  0.5  |  Structural necessity alignment.</w:t>
      </w:r>
    </w:p>
    <w:p>
      <w:r>
        <w:t xml:space="preserve"> |  \0.0,0.1,0.2,0.5\  |  0.2  |  Redundancy penalty.</w:t>
      </w:r>
    </w:p>
    <w:p>
      <w:r>
        <w:t xml:space="preserve"> |  \0.0,0.05,0.1,0.2\  |  0.1  |  Bottleneck log-barrier.</w:t>
      </w:r>
    </w:p>
    <w:p>
      <w:r>
        <w:t xml:space="preserve"> |  \10^-6,10^-5,10^-4,10^-3\  |  10^-4  |  Numerical floor for weights.</w:t>
      </w:r>
    </w:p>
    <w:p>
      <w:r>
        <w:t>table</w:t>
      </w:r>
    </w:p>
    <w:p>
      <w:r>
        <w:t>table[ht]</w:t>
      </w:r>
    </w:p>
    <w:p>
      <w:r>
        <w:rPr>
          <w:b/>
        </w:rPr>
        <w:t xml:space="preserve">Caption: </w:t>
      </w:r>
      <w:r>
        <w:t>Extended ablation results moved from the main manuscript. is relative to full SC-FMA QP.</w:t>
      </w:r>
    </w:p>
    <w:p>
      <w:r>
        <w:t xml:space="preserve">Variant  |  Spearman  | </w:t>
      </w:r>
    </w:p>
    <w:p>
      <w:r>
        <w:t>SC-FMA QP (full)  |  0.608  |  --</w:t>
      </w:r>
    </w:p>
    <w:p>
      <w:r>
        <w:t>- Structure  |  0.551  |  -0.057</w:t>
      </w:r>
    </w:p>
    <w:p>
      <w:r>
        <w:t>- Fidelity  |  0.536  |  -0.072</w:t>
      </w:r>
    </w:p>
    <w:p>
      <w:r>
        <w:t>- Redundancy  |  0.586  |  -0.022</w:t>
      </w:r>
    </w:p>
    <w:p>
      <w:r>
        <w:t>- Bottleneck  |  0.595  |  -0.013</w:t>
      </w:r>
    </w:p>
    <w:p>
      <w:r>
        <w:t>Structure only  |  0.438  |  -0.170</w:t>
      </w:r>
    </w:p>
    <w:p>
      <w:r>
        <w:t>Fidelity only (Raw CIU)  |  0.483  |  -0.125</w:t>
      </w:r>
    </w:p>
    <w:p>
      <w:r>
        <w:t>Fidelity + Structure  |  0.573  |  -0.035</w:t>
      </w:r>
    </w:p>
    <w:p>
      <w:r>
        <w:t>Fidelity + Redundancy  |  0.518  |  -0.090</w:t>
      </w:r>
    </w:p>
    <w:p>
      <w:r>
        <w:t>Fidelity + Bottleneck  |  0.504  |  -0.104</w:t>
      </w:r>
    </w:p>
    <w:p>
      <w:r>
        <w:t>table</w:t>
      </w:r>
    </w:p>
    <w:p>
      <w:pPr>
        <w:pStyle w:val="Heading2"/>
      </w:pPr>
      <w:r>
        <w:t>Efficiency and Scaling</w:t>
      </w:r>
    </w:p>
    <w:p>
      <w:r>
        <w:t>table[ht]</w:t>
      </w:r>
    </w:p>
    <w:p>
      <w:r>
        <w:rPr>
          <w:b/>
        </w:rPr>
        <w:t xml:space="preserve">Caption: </w:t>
      </w:r>
      <w:r>
        <w:t>Computational efficiency moved from the main manuscript. Times are per-trace mean over the synthetic test set.</w:t>
      </w:r>
    </w:p>
    <w:p>
      <w:r>
        <w:t>Method  |  Wall-clock (ms)  |  Scaling exponent p</w:t>
      </w:r>
    </w:p>
    <w:p>
      <w:r>
        <w:t>SC-FMA QP  |  6.8 2.9  |  2.81</w:t>
      </w:r>
    </w:p>
    <w:p>
      <w:r>
        <w:t>SC-FMA Ridge  |  0.4 0.1  |  0.97</w:t>
      </w:r>
    </w:p>
    <w:p>
      <w:r>
        <w:t>SC-FMA Projection  |  0.2 0.05  |  0.98</w:t>
      </w:r>
    </w:p>
    <w:p>
      <w:r>
        <w:t>Raw CIU  |  0.8 0.2  |  0.95</w:t>
      </w:r>
    </w:p>
    <w:p>
      <w:r>
        <w:t>MC Shapley (500 permutations)  |  3,420 890  |  1.03</w:t>
      </w:r>
    </w:p>
    <w:p>
      <w:r>
        <w:t>GradientInput  |  12.4 3.1  |  1.12</w:t>
      </w:r>
    </w:p>
    <w:p>
      <w:r>
        <w:t>Attention Rollout  |  8.1 1.7  |  1.15</w:t>
      </w:r>
    </w:p>
    <w:p>
      <w:r>
        <w:t>Token Surprisal  |  45.2 8.3  |  1.08</w:t>
      </w:r>
    </w:p>
    <w:p>
      <w:r>
        <w:t>table</w:t>
      </w:r>
    </w:p>
    <w:p>
      <w:r>
        <w:t>The full scaling figure remains available as Figure~[fig:resilience-app] and in the source figure bundle. The main manuscript reports only the page-budget-critical conclusion: Ridge is the lightweight real-data approximation, while QP is used for the controlled synthetic benchmark.</w:t>
      </w:r>
    </w:p>
    <w:p>
      <w:pPr>
        <w:pStyle w:val="Heading2"/>
      </w:pPr>
      <w:r>
        <w:t>PRM800K Variant Details and Audit Readout</w:t>
      </w:r>
    </w:p>
    <w:p>
      <w:r>
        <w:t>table[ht]</w:t>
      </w:r>
    </w:p>
    <w:p>
      <w:r>
        <w:rPr>
          <w:b/>
        </w:rPr>
        <w:t xml:space="preserve">Caption: </w:t>
      </w:r>
      <w:r>
        <w:t>SC-FMA calibration variant comparison on the PRM800K locked split. All variants use w_struct predictions as the fidelity input.</w:t>
      </w:r>
    </w:p>
    <w:p>
      <w:r>
        <w:t>Method  |  Mean  |  95% CI  |  vs. w_struct</w:t>
      </w:r>
    </w:p>
    <w:p>
      <w:r>
        <w:t>w_struct  |  0.611  |  [0.605,0.618]  |  --</w:t>
      </w:r>
    </w:p>
    <w:p>
      <w:r>
        <w:t>SC-FMA Ridge  |  0.604  |  [0.597,0.611]  |  -0.007</w:t>
      </w:r>
    </w:p>
    <w:p>
      <w:r>
        <w:t>SC-FMA QP  |  0.442  |  [0.432,0.452]  |  -0.169</w:t>
      </w:r>
    </w:p>
    <w:p>
      <w:r>
        <w:t>SC-FMA Projection  |  -0.135  |  [-0.147,-0.122]  |  -0.746</w:t>
      </w:r>
    </w:p>
    <w:p>
      <w:r>
        <w:t>Raw local utility  |  -0.078  |  [-0.092,-0.064]  |  -0.689</w:t>
      </w:r>
    </w:p>
    <w:p>
      <w:r>
        <w:t>Frozen PRM prefix score  |  0.252  |  --  |  -0.359</w:t>
      </w:r>
    </w:p>
    <w:p>
      <w:r>
        <w:t>Random  |  0.006  |  [-0.008,0.020]  |  -0.606</w:t>
      </w:r>
    </w:p>
    <w:p>
      <w:r>
        <w:t>table</w:t>
      </w:r>
    </w:p>
    <w:p>
      <w:r>
        <w:t>table[ht]</w:t>
      </w:r>
    </w:p>
    <w:p>
      <w:r>
        <w:rPr>
          <w:b/>
        </w:rPr>
        <w:t xml:space="preserve">Caption: </w:t>
      </w:r>
      <w:r>
        <w:t>Offline PRM800K audit-prioritization readout under a fixed review budget.</w:t>
      </w:r>
    </w:p>
    <w:p>
      <w:r>
        <w:t>Method  |  Top-1 hit  |  Mass@25%  |  NDCG@25%</w:t>
      </w:r>
    </w:p>
    <w:p>
      <w:r>
        <w:t>w_struct  |  0.9169  |  0.3809  |  0.9506</w:t>
      </w:r>
    </w:p>
    <w:p>
      <w:r>
        <w:t>SC-FMA Ridge  |  0.9054  |  0.3796  |  0.9460</w:t>
      </w:r>
    </w:p>
    <w:p>
      <w:r>
        <w:t>SC-FMA QP  |  0.9033  |  0.3790  |  0.9439</w:t>
      </w:r>
    </w:p>
    <w:p>
      <w:r>
        <w:t>Frozen PRM prefix score  |  --  |  --  |  0.8465</w:t>
      </w:r>
    </w:p>
    <w:p>
      <w:r>
        <w:t>Random  |  --  |  --  |  0.7757</w:t>
      </w:r>
    </w:p>
    <w:p>
      <w:r>
        <w:t>Span length  |  --  |  --  |  0.7526</w:t>
      </w:r>
    </w:p>
    <w:p>
      <w:r>
        <w:t>Raw local utility  |  --  |  --  |  0.7221</w:t>
      </w:r>
    </w:p>
    <w:p>
      <w:r>
        <w:t>Relative position  |  --  |  --  |  0.3204</w:t>
      </w:r>
    </w:p>
    <w:p>
      <w:r>
        <w:t>table</w:t>
      </w:r>
    </w:p>
    <w:p>
      <w:r>
        <w:t>These tables retain the route-specific downgrade: the strongest real-data result is w_struct; Ridge is a close approximation; QP and Projection are not reported as real-data winners.</w:t>
      </w:r>
    </w:p>
    <w:p>
      <w:pPr>
        <w:pStyle w:val="Heading2"/>
      </w:pPr>
      <w:r>
        <w:t>Knowledge-Intensive Integration Notes and KG Fixture Pilot</w:t>
      </w:r>
    </w:p>
    <w:p>
      <w:r>
        <w:t>The main manuscript compresses knowledge-intensive implications to the methodological level. The detailed mapping is: high-necessity steps suggest review-priority knowledge assertions or verification rules; high-redundancy steps suggest candidate consolidation; bottleneck steps suggest single points of failure that deserve fallback or curation. These mappings remain analogies until tested in a rule engine, ontology reasoner, KG query engine, or production workflow.</w:t>
      </w:r>
    </w:p>
    <w:p>
      <w:r>
        <w:t>The fixture-level KG pilot uses the Countries knowledge graph with country and region entities and locatedIn/neighborOf triples. It compares TF-IDF topical edges with KG-augmented edges for synthetic query traces. The pilot demonstrates implementation feasibility for ontology-aware edge construction, but it is not production knowledge-intensive validation and is not used to strengthen the main empirical claim.</w:t>
      </w:r>
    </w:p>
    <w:p>
      <w:pPr>
        <w:pStyle w:val="Heading2"/>
      </w:pPr>
      <w:r>
        <w:t>Supplementary Diagnostic Figures</w:t>
      </w:r>
    </w:p>
    <w:p>
      <w:r>
        <w:t>Figures~[fig:mode-comparison]-[fig:resilience-app] provide the supplementary structural diagnostic figures referenced in the main text.</w:t>
      </w:r>
    </w:p>
    <w:p>
      <w:r>
        <w:t>figure[ht]</w:t>
      </w:r>
    </w:p>
    <w:p>
      <w:r>
        <w:t>[Supplementary figure retained in LaTeX/PDF source package]</w:t>
      </w:r>
    </w:p>
    <w:p>
      <w:r>
        <w:rPr>
          <w:b/>
        </w:rPr>
        <w:t xml:space="preserve">Caption: </w:t>
      </w:r>
      <w:r>
        <w:t>Structural diagnostic summary by perturbation mode. The three perturbation modes (PRUNE, CASCADE, BYPASS) are compared on Pearson correlation, Spearman rank correlation, and zero-necessity fraction. Error bars indicate 95% bootstrap confidence intervals. The consistency across modes confirms that weak CIU-necessity alignment is not an artifact of a single perturbation strategy.</w:t>
      </w:r>
    </w:p>
    <w:p>
      <w:r>
        <w:t>figure</w:t>
      </w:r>
    </w:p>
    <w:p>
      <w:r>
        <w:t>figure[ht]</w:t>
      </w:r>
    </w:p>
    <w:p>
      <w:r>
        <w:t>[Supplementary figure retained in LaTeX/PDF source package]</w:t>
      </w:r>
    </w:p>
    <w:p>
      <w:r>
        <w:rPr>
          <w:b/>
        </w:rPr>
        <w:t xml:space="preserve">Caption: </w:t>
      </w:r>
      <w:r>
        <w:t>Redundancy density and compensation analysis. Panel (a): per-trace redundancy density distribution (mean 0.3842). Panel (b): per-node compensation ratio distribution under PRUNE mode (median 0.000, mean 0.0084). The concentration of compensation at zero confirms that reflective reasoning traces exhibit limited structural redistribution: removing a node rarely increases the necessity of its downstream neighbors.</w:t>
      </w:r>
    </w:p>
    <w:p>
      <w:r>
        <w:t>figure</w:t>
      </w:r>
    </w:p>
    <w:p>
      <w:r>
        <w:t>figure[ht]</w:t>
      </w:r>
    </w:p>
    <w:p>
      <w:r>
        <w:t>[Supplementary figure retained in LaTeX/PDF source package]</w:t>
      </w:r>
    </w:p>
    <w:p>
      <w:r>
        <w:rPr>
          <w:b/>
        </w:rPr>
        <w:t xml:space="preserve">Caption: </w:t>
      </w:r>
      <w:r>
        <w:t>Resilience curves under ordered node removal. Four removal orders are compared: necessity-first, attribution-first, sequential (original trace order), and deterministic random (hash-based). The y-axis shows remaining structural necessity fraction; the x-axis is the fraction of nodes removed. AUC values are annotated. The necessity-first curve degrades sharply (AUC 0.1488), while attribution-first (AUC 0.4761) is close to random (AUC 0.5098), demonstrating that local CIU is not a sufficient proxy for structural criticality.</w:t>
      </w:r>
    </w:p>
    <w:p>
      <w:r>
        <w:t>figure</w:t>
      </w:r>
    </w:p>
    <w:p>
      <w:pPr>
        <w:pStyle w:val="Heading2"/>
      </w:pPr>
      <w:r>
        <w:t>Stratum-Dependent Held-Out Analysis</w:t>
      </w:r>
    </w:p>
    <w:p>
      <w:r>
        <w:t>The Stage 2 held-out validation results stratified by trace difficulty tier show substantial heterogeneity: S_high yields Spearman = 0.287 (CI [0.108, 0.451]), while S_mid and S_rand include zero in their confidence intervals. The aggregate signal ( = 0.163, CI [0.092, 0.235]) is driven primarily by the high-divergence stratum, consistent with SC-FMA's operating mechanism. Full stratum results are provided in Supplementary Note~S6.</w:t>
      </w:r>
    </w:p>
    <w:p>
      <w:pPr>
        <w:pStyle w:val="Heading2"/>
      </w:pPr>
      <w:r>
        <w:rPr>
          <w:b w:val="0"/>
          <w:i w:val="0"/>
        </w:rPr>
        <w:t>PRM800K Stratified Audit-Prioritization Tables</w:t>
      </w:r>
    </w:p>
    <w:p>
      <w:r>
        <w:rPr>
          <w:b w:val="0"/>
          <w:i w:val="0"/>
        </w:rPr>
        <w:t>This appendix provides the full stratified audit-prioritization results referenced in Section 4.5 of the main manuscript. The tables report Spearman rho and NDCG@25% across trace-length and label-entropy strata on the locked PRM800K v3.6 hash split.</w:t>
      </w:r>
    </w:p>
    <w:p>
      <w:r>
        <w:rPr>
          <w:b w:val="0"/>
          <w:i/>
          <w:sz w:val="18"/>
        </w:rPr>
      </w:r>
      <w:r>
        <w:rPr>
          <w:b/>
          <w:i/>
          <w:sz w:val="18"/>
        </w:rPr>
        <w:t xml:space="preserve">Table S1. </w:t>
      </w:r>
      <w:r>
        <w:rPr>
          <w:i/>
          <w:sz w:val="18"/>
        </w:rPr>
        <w:t>Stratified PRM800K ranking by trace length. Spearman rho for each SC-FMA variant and key baselines across short and long trace strata. Short traces exhibit lower redundancy density, where all variants preserve the w_struct ordering. Long traces contain dense redundancy blocks that degrade QP due to its hard redundancy penalty.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Stratum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Samples / Steps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w_struct rho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Ridge rho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QP rho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Short traces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1,806 / 7,141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0.759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0.757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0.734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Mid traces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1,195 / 8,464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0.583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0.571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0.412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Long traces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1,416 / 18,814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0.447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0.430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0.172</w:t>
            </w:r>
          </w:p>
        </w:tc>
      </w:tr>
    </w:tbl>
    <w:p/>
    <w:p/>
    <w:p>
      <w:r>
        <w:rPr>
          <w:b w:val="0"/>
          <w:i/>
          <w:sz w:val="18"/>
        </w:rPr>
      </w:r>
      <w:r>
        <w:rPr>
          <w:b/>
          <w:i/>
          <w:sz w:val="18"/>
        </w:rPr>
        <w:t xml:space="preserve">Table S2. </w:t>
      </w:r>
      <w:r>
        <w:rPr>
          <w:i/>
          <w:sz w:val="18"/>
        </w:rPr>
        <w:t>Stratified PRM800K ranking by label entropy. On low-entropy traces, annotation labels are concentrated and all methods show compressed metrics, but w_struct and Ridge still achieve NDCG@25% above 0.99. On high-entropy traces, QP performs relatively closer to w_struct, suggesting that explicit redundancy management becomes more useful when step-level discriminability matters.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Stratum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Samples / Steps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w_struct rho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QP rho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NDCG@25% (w_struct)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NDCG@25% (Ridge)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Low entropy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1,474 / 17,288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---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---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&gt;0.99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&gt;0.99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Mid entropy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1,639 / 10,948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0.568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0.398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0.961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0.955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High entropy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1,304 / 5,983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0.705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0.642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0.934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0.929</w:t>
            </w:r>
          </w:p>
        </w:tc>
      </w:tr>
    </w:tbl>
    <w:p/>
    <w:p>
      <w:r>
        <w:rPr>
          <w:b w:val="0"/>
          <w:i w:val="0"/>
        </w:rPr>
        <w:t>These stratified results confirm the variant-level diagnostic in the main text: Ridge is robust across strata because it soft-averages structural information, while QP degrades sharply on high-redundancy and long-trace conditions where its hard redundancy penalty overcorrects. The frozen PRM prefix score performs moderately (Spearman 0.061-0.425 across strata) but consistently above raw local utility.</w:t>
      </w:r>
    </w:p>
    <w:p>
      <w:pPr>
        <w:pStyle w:val="Heading2"/>
      </w:pPr>
      <w:r>
        <w:t>Taxonomy-Stratified Ablation</w:t>
      </w:r>
    </w:p>
    <w:p>
      <w:r>
        <w:t>The ablation analysis stratified by reflective operation category reveals that structure alignment () provides the largest gain for ERROR_CORRECTION and VERIFICATION categories, while redundancy penalty () contributes most for BACKTRACKING and PLANNING categories. Full taxonomy-stratified ablation results are provided in Supplementary Note~S7.</w:t>
      </w:r>
    </w:p>
    <w:p>
      <w:pPr>
        <w:pStyle w:val="Heading1"/>
      </w:pPr>
      <w:r>
        <w:t>Implementation Details and Reproducibility</w:t>
      </w:r>
    </w:p>
    <w:p>
      <w:pPr>
        <w:pStyle w:val="Heading2"/>
      </w:pPr>
      <w:r>
        <w:t>Reproducibility Checklist</w:t>
      </w:r>
    </w:p>
    <w:p>
      <w:r>
        <w:t>The following checklist documents the measures taken to ensure full reproducibility of all experimental results reported in this paper.</w:t>
      </w:r>
    </w:p>
    <w:p>
      <w:r>
        <w:t>enumerate</w:t>
      </w:r>
    </w:p>
    <w:p>
      <w:r>
        <w:t>Environment. Python 3.11, dependencies specified in requirements.txt with pinned versions. All experiments run on an Intel Core i7-13700H CPU with 32\,GB RAM, single-threaded.</w:t>
      </w:r>
    </w:p>
    <w:p>
      <w:r>
        <w:t>Random seeds. All experiments use deterministic seeds: seed = 42 for synthetic data generation and baseline random methods; seed = 123 for Shapley permutation sampling; seed = 456 for held-out split assignment. NumPy, PyTorch, and Python random states are all seeded.</w:t>
      </w:r>
    </w:p>
    <w:p>
      <w:r>
        <w:t>Synthetic data. Traces are generated via the controlled probabilistic model described in the Synthetic Data Generation section of the main manuscript. The generation script (scripts/generate_synthetic_traces.py) is deterministic given the seed. Generated traces are archived as JSON artifacts.</w:t>
      </w:r>
    </w:p>
    <w:p>
      <w:r>
        <w:t>Hyperparameter tuning. Grid search on the validation set (40 traces) with the ranges reported in the hyperparameter tuning table of the main manuscript. No test-set information is used during tuning. The optimal configuration is frozen before test-set evaluation.</w:t>
      </w:r>
    </w:p>
    <w:p>
      <w:r>
        <w:t>Baseline methods. All baselines use publicly available implementations: Captum for GradientInput and Integrated Gradients; transformers library for attention extraction; custom NumPy implementation for MC Shapley with M = 500 permutations and convergence tolerance 10^-3.</w:t>
      </w:r>
    </w:p>
    <w:p>
      <w:r>
        <w:t>SLSQP solver. SciPy's scipy.optimize.minimize with method SLSQP, tolerance ftol = 1e-8, maximum iterations = 100. Warm-start from Ridge solution.</w:t>
      </w:r>
    </w:p>
    <w:p>
      <w:r>
        <w:t>Statistical tests. Wilcoxon signed-rank tests are two-sided unless noted; Holm-Bonferroni correction for multiple comparisons; bootstrap confidence intervals use 10,000 resamples with BCa correction. Effect sizes reported as r = Z/N.</w:t>
      </w:r>
    </w:p>
    <w:p>
      <w:r>
        <w:t>Output artifacts. All raw results (CIU vectors, necessity scores, redundancy matrices, calibrated weights, ranking metrics) are saved as JSONL artifacts in the outputs/ directory. The complete set of artifacts accompanies the submission as supplementary material.</w:t>
      </w:r>
    </w:p>
    <w:p>
      <w:r>
        <w:t>enumerate</w:t>
      </w:r>
    </w:p>
    <w:p>
      <w:pPr>
        <w:pStyle w:val="Heading2"/>
      </w:pPr>
      <w:r>
        <w:t>SLSQP Convergence Diagnostics</w:t>
      </w:r>
    </w:p>
    <w:p>
      <w:r>
        <w:t>SLSQP convergence statistics across N = 1,027 steps (200 traces): mean iterations to convergence 5.3 2.1 (std), median 5, maximum 12. The worst-case trace (k=8, dense redundancy) required 12 iterations and 14.7\,ms. Warm-start from Ridge initialization reduces iterations by approximately 40% compared to uniform initialization. Under default hyperparameters (=1.0, =0.5, =0.2, =0.1, =10^-4), the Hessian condition number (H) 3.2, guaranteeing numerically stable optimization. Detailed convergence statistics by trace size and cold-start comparisons are provided in Supplementary Note~S4.</w:t>
      </w:r>
    </w:p>
    <w:p>
      <w:pPr>
        <w:pStyle w:val="Heading2"/>
      </w:pPr>
      <w:r>
        <w:t>Graph Construction Parameter Sensitivity</w:t>
      </w:r>
    </w:p>
    <w:p>
      <w:r>
        <w:t>The keyword-heuristic graph construction introduces two free parameters: _tfidf = 0.35 and w_topical = 0.75. Sensitivity analysis ( 20% perturbation) shows || &lt; 0.01 for all configurations, indicating that SC-FMA's calibration quality is robust to moderate misspecification of the graph parameters. Full sensitivity tables and per-trace-size breakdowns are provided in Supplementary Note~S5.</w:t>
      </w:r>
    </w:p>
    <w:p>
      <w:pPr>
        <w:pStyle w:val="Heading2"/>
      </w:pPr>
      <w:r>
        <w:t>Controlled Proxy-Label Independence Analysis</w:t>
      </w:r>
    </w:p>
    <w:p>
      <w:r>
        <w:t>We verify that the controlled proxy-label definition used in the synthetic benchmark does not share input features with the SCU objective. The correlation between each proxy-label component and each SCU input is:</w:t>
      </w:r>
    </w:p>
    <w:p>
      <w:r>
        <w:t>table[ht]</w:t>
      </w:r>
    </w:p>
    <w:p>
      <w:r>
        <w:rPr>
          <w:b/>
        </w:rPr>
        <w:t xml:space="preserve">Caption: </w:t>
      </w:r>
      <w:r>
        <w:t>Cross-correlation between controlled proxy-label components and SCU inputs across 1,027 steps. All correlations are below || &lt; 0.15, confirming low input overlap.</w:t>
      </w:r>
    </w:p>
    <w:p>
      <w:r>
        <w:t xml:space="preserve"> |  c_i (CIU)  |  n_i (necessity)  |  r_i (redundancy)</w:t>
      </w:r>
    </w:p>
    <w:p>
      <w:r>
        <w:t>s_i (correctness)  |  0.08  |  -0.04  |  -0.07</w:t>
      </w:r>
    </w:p>
    <w:p>
      <w:r>
        <w:t>d_i (lexical diversity)  |  -0.12  |  0.06  |  0.03</w:t>
      </w:r>
    </w:p>
    <w:p>
      <w:r>
        <w:t>p_i (position value)  |  0.11  |  -0.09  |  -0.02</w:t>
      </w:r>
    </w:p>
    <w:p>
      <w:r>
        <w:t>table</w:t>
      </w:r>
    </w:p>
    <w:p>
      <w:r>
        <w:t>All cross-correlations are below || &lt; 0.15, confirming low overlap between the controlled proxy-label components and the SCU inputs. The previous isomorphic definition (y_i = 0.4c_i + 0.4n_i + 0.2(1-r_i)) achieved Pearson correlations of 0.63 with c_i and 0.53 with n_i--indicating substantial overlap that the revised proxy-label definition eliminates.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