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Calibri" w:hAnsi="Calibri"/>
        </w:rPr>
        <w:t>Highlights</w:t>
      </w:r>
    </w:p>
    <w:p>
      <w:pPr>
        <w:jc w:val="center"/>
      </w:pPr>
      <w:r>
        <w:rPr>
          <w:rFonts w:ascii="Calibri" w:hAnsi="Calibri"/>
          <w:b/>
        </w:rPr>
        <w:t>Structurally-Calibrated Functional Attribution: A Methodology for Process Supervision Weighting in Reflective Reasoning</w:t>
      </w:r>
    </w:p>
    <w:p>
      <w:pPr>
        <w:jc w:val="center"/>
      </w:pPr>
      <w:r>
        <w:rPr>
          <w:rFonts w:ascii="Calibri" w:hAnsi="Calibri"/>
        </w:rPr>
        <w:t>Haoran Ma, Ningning Wang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SC-FMA calibrates interventional utility into supervision weights.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 convex SCU objective protects structure, redundancy, and bottlenecks.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SC-FMA QP improves controlled synthetic ranking over raw CIU and baselines.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Ridge is the closest SC-FMA approximation on the PRM800K locked split.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