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Calibri" w:hAnsi="Calibri"/>
        </w:rPr>
        <w:t>Supplementary Material for Structurally-Calibrated Functional Attribution: A Methodology for Process Supervision Weighting in Reflective Reasoning</w:t>
      </w:r>
    </w:p>
    <w:p>
      <w:pPr>
        <w:jc w:val="center"/>
      </w:pPr>
      <w:r>
        <w:rPr>
          <w:rFonts w:ascii="Calibri" w:hAnsi="Calibri"/>
        </w:rPr>
        <w:t>Haoran Ma, Ningning Wang</w:t>
      </w:r>
    </w:p>
    <w:p>
      <w:r>
        <w:rPr>
          <w:rFonts w:ascii="Calibri" w:hAnsi="Calibri"/>
        </w:rPr>
        <w:t>Haoran Maa, Ningning Wanga,b,∗</w:t>
      </w:r>
    </w:p>
    <w:p>
      <w:r>
        <w:rPr>
          <w:rFonts w:ascii="Calibri" w:hAnsi="Calibri"/>
        </w:rPr>
        <w:t>aCollege of Management Science and Engineering, Beijing Information Science and Technology University, Beijing, 102200, China bInstitute of Information Systems, ESG Intelligent Application Innovation Research Center, Beijing, 102200, China</w:t>
      </w:r>
    </w:p>
    <w:p>
      <w:pPr>
        <w:pStyle w:val="Heading2"/>
      </w:pPr>
      <w:r>
        <w:rPr>
          <w:rFonts w:ascii="Calibri" w:hAnsi="Calibri"/>
        </w:rPr>
        <w:t>A R T I C L E I N F O A B S T R A C T</w:t>
      </w:r>
    </w:p>
    <w:p>
      <w:pPr>
        <w:pStyle w:val="Heading2"/>
      </w:pPr>
      <w:r>
        <w:rPr>
          <w:rFonts w:ascii="Calibri" w:hAnsi="Calibri"/>
        </w:rPr>
        <w:t>Keywords: This supplementary material contains extended proofs, additional controlled-benchmark results,</w:t>
      </w:r>
    </w:p>
    <w:p>
      <w:r>
        <w:rPr>
          <w:rFonts w:ascii="Calibri" w:hAnsi="Calibri"/>
        </w:rPr>
        <w:t>supplementary material implementation details, and reproducibility notes separated from the main manuscript. The structural calibration synthetic labels discussed here are controlled proxy labels for method comparison, not external</w:t>
      </w:r>
    </w:p>
    <w:p>
      <w:r>
        <w:rPr>
          <w:rFonts w:ascii="Calibri" w:hAnsi="Calibri"/>
        </w:rPr>
        <w:t>reproducibility ground truth.</w:t>
      </w:r>
    </w:p>
    <w:p>
      <w:r>
        <w:rPr>
          <w:rFonts w:ascii="Calibri" w:hAnsi="Calibri"/>
        </w:rPr>
        <w:t>knowledge graph pilot</w:t>
      </w:r>
    </w:p>
    <w:p>
      <w:pPr>
        <w:pStyle w:val="Heading1"/>
      </w:pPr>
      <w:r>
        <w:rPr>
          <w:rFonts w:ascii="Calibri" w:hAnsi="Calibri"/>
        </w:rPr>
        <w:t>A. Extended Proofs and Derivations</w:t>
      </w:r>
    </w:p>
    <w:p>
      <w:r>
        <w:rPr>
          <w:rFonts w:ascii="Calibri" w:hAnsi="Calibri"/>
        </w:rPr>
        <w:t>This appendix provides supplementary derivations, edge-case analyses, and tightness constructions referenced in the main text. Full proofs of the variance-reduction and bottleneck-protection theorems, the bottleneck tightness construction, and SLSQP convergence diagnostics are provided in the supplementary materials (Supplementary Notes</w:t>
      </w:r>
    </w:p>
    <w:p>
      <w:pPr>
        <w:pStyle w:val="Heading2"/>
      </w:pPr>
      <w:r>
        <w:rPr>
          <w:rFonts w:ascii="Calibri" w:hAnsi="Calibri"/>
        </w:rPr>
        <w:t>S2–S4).</w:t>
      </w:r>
    </w:p>
    <w:p>
      <w:pPr>
        <w:pStyle w:val="Heading2"/>
      </w:pPr>
      <w:r>
        <w:rPr>
          <w:rFonts w:ascii="Calibri" w:hAnsi="Calibri"/>
        </w:rPr>
        <w:t>A.1. KKT Conditions for the SCU Objective</w:t>
      </w:r>
    </w:p>
    <w:p>
      <w:r>
        <w:rPr>
          <w:rFonts w:ascii="Calibri" w:hAnsi="Calibri"/>
        </w:rPr>
        <w:t>The Karush–Kuhn–Tucker (KKT) conditions for the SCU constrained optimization problem (Eqs. 1–2) are:</w:t>
      </w:r>
    </w:p>
    <w:p>
      <w:pPr>
        <w:pStyle w:val="Heading2"/>
      </w:pPr>
      <w:r>
        <w:rPr>
          <w:rFonts w:ascii="Calibri" w:hAnsi="Calibri"/>
        </w:rPr>
        <w:t>𝜕𝐿 |</w:t>
      </w:r>
    </w:p>
    <w:p>
      <w:r>
        <w:rPr>
          <w:rFonts w:ascii="Calibri" w:hAnsi="Calibri"/>
        </w:rPr>
        <w:t>| − 𝜇∗ − 𝜆∗ = 0, ∀𝑖 (A.1)</w:t>
      </w:r>
    </w:p>
    <w:p>
      <w:r>
        <w:rPr>
          <w:rFonts w:ascii="Calibri" w:hAnsi="Calibri"/>
        </w:rPr>
        <w:t>𝜕𝑤 | 𝑖</w:t>
      </w:r>
    </w:p>
    <w:p>
      <w:r>
        <w:rPr>
          <w:rFonts w:ascii="Calibri" w:hAnsi="Calibri"/>
        </w:rPr>
        <w:t>𝑖 |𝐰∗</w:t>
      </w:r>
    </w:p>
    <w:p>
      <w:r>
        <w:rPr>
          <w:rFonts w:ascii="Calibri" w:hAnsi="Calibri"/>
        </w:rPr>
        <w:t>𝜇∗ ≥ 0, ∀𝑖 (A.2)</w:t>
      </w:r>
    </w:p>
    <w:p>
      <w:r>
        <w:rPr>
          <w:rFonts w:ascii="Calibri" w:hAnsi="Calibri"/>
        </w:rPr>
        <w:t>𝑖</w:t>
      </w:r>
    </w:p>
    <w:p>
      <w:r>
        <w:rPr>
          <w:rFonts w:ascii="Calibri" w:hAnsi="Calibri"/>
        </w:rPr>
        <w:t>𝜇∗(𝑤∗ − 𝜀) = 0, ∀𝑖 (A.3)</w:t>
      </w:r>
    </w:p>
    <w:p>
      <w:r>
        <w:rPr>
          <w:rFonts w:ascii="Calibri" w:hAnsi="Calibri"/>
        </w:rPr>
        <w:t>𝑖 𝑖</w:t>
      </w:r>
    </w:p>
    <w:p>
      <w:r>
        <w:rPr>
          <w:rFonts w:ascii="Calibri" w:hAnsi="Calibri"/>
        </w:rPr>
        <w:t>𝑤∗ ≥ 𝜀, ∀𝑖 (A.4)</w:t>
      </w:r>
    </w:p>
    <w:p>
      <w:r>
        <w:rPr>
          <w:rFonts w:ascii="Calibri" w:hAnsi="Calibri"/>
        </w:rPr>
        <w:t>𝑖</w:t>
      </w:r>
    </w:p>
    <w:p>
      <w:r>
        <w:rPr>
          <w:rFonts w:ascii="Calibri" w:hAnsi="Calibri"/>
        </w:rPr>
        <w:t>𝑘</w:t>
      </w:r>
    </w:p>
    <w:p>
      <w:r>
        <w:rPr>
          <w:rFonts w:ascii="Calibri" w:hAnsi="Calibri"/>
        </w:rPr>
        <w:t>∑</w:t>
      </w:r>
    </w:p>
    <w:p>
      <w:r>
        <w:rPr>
          <w:rFonts w:ascii="Calibri" w:hAnsi="Calibri"/>
        </w:rPr>
        <w:t>𝑤∗ = 1. (A.5)</w:t>
      </w:r>
    </w:p>
    <w:p>
      <w:r>
        <w:rPr>
          <w:rFonts w:ascii="Calibri" w:hAnsi="Calibri"/>
        </w:rPr>
        <w:t>𝑖</w:t>
      </w:r>
    </w:p>
    <w:p>
      <w:r>
        <w:rPr>
          <w:rFonts w:ascii="Calibri" w:hAnsi="Calibri"/>
        </w:rPr>
        <w:t>𝑖=1</w:t>
      </w:r>
    </w:p>
    <w:p>
      <w:r>
        <w:rPr>
          <w:rFonts w:ascii="Calibri" w:hAnsi="Calibri"/>
        </w:rPr>
        <w:t>The partial derivative is 𝜕𝐿∕𝜕𝑤 = 2𝛼(𝑤 − 𝑐̃ ) + 2𝛽(𝑤 − 𝑛̃ ) + 2𝛾(𝐑𝐰) − 𝛿𝑏 ∕𝑤 . The multiplier 𝜆∗ ∈ ℝ</w:t>
      </w:r>
    </w:p>
    <w:p>
      <w:r>
        <w:rPr>
          <w:rFonts w:ascii="Calibri" w:hAnsi="Calibri"/>
        </w:rPr>
        <w:t>𝑖 𝑖 𝑖 𝑖 𝑖 𝑖 𝑖 𝑖</w:t>
      </w:r>
    </w:p>
    <w:p>
      <w:r>
        <w:rPr>
          <w:rFonts w:ascii="Calibri" w:hAnsi="Calibri"/>
        </w:rPr>
        <w:t>(unrestricted) captures the equality constraint; 𝜇∗ ≥ 0 enforce the floor constraints. By complementary slackness,</w:t>
      </w:r>
    </w:p>
    <w:p>
      <w:r>
        <w:rPr>
          <w:rFonts w:ascii="Calibri" w:hAnsi="Calibri"/>
        </w:rPr>
        <w:t>𝑖</w:t>
      </w:r>
    </w:p>
    <w:p>
      <w:r>
        <w:rPr>
          <w:rFonts w:ascii="Calibri" w:hAnsi="Calibri"/>
        </w:rPr>
        <w:t>𝜇∗ &gt; 0 only when 𝑤∗ = 𝜀. The complete derivation and case-by-case analysis of boundary solutions are provided in</w:t>
      </w:r>
    </w:p>
    <w:p>
      <w:r>
        <w:rPr>
          <w:rFonts w:ascii="Calibri" w:hAnsi="Calibri"/>
        </w:rPr>
        <w:t>𝑖 𝑖</w:t>
      </w:r>
    </w:p>
    <w:p>
      <w:r>
        <w:rPr>
          <w:rFonts w:ascii="Calibri" w:hAnsi="Calibri"/>
        </w:rPr>
        <w:t>Supplementary Note S2.</w:t>
      </w:r>
    </w:p>
    <w:p>
      <w:pPr>
        <w:pStyle w:val="Heading2"/>
      </w:pPr>
      <w:r>
        <w:rPr>
          <w:rFonts w:ascii="Calibri" w:hAnsi="Calibri"/>
        </w:rPr>
        <w:t>A.2. Derivation of the Variance Reduction Bound</w:t>
      </w:r>
    </w:p>
    <w:p>
      <w:r>
        <w:rPr>
          <w:rFonts w:ascii="Calibri" w:hAnsi="Calibri"/>
        </w:rPr>
        <w:t>The full algebraic derivation is provided in Supplementary Note S2. The key steps are: (i) the two-term objective 𝐿 2 (𝐰) = 𝛼 ‖ 𝐰 − 𝐜̃ ‖ 2 2 + 𝛽 ‖ 𝐰 − 𝐧̃ ‖ 2 2 has unconstrained minimizer 𝐰̂ = (𝛼𝐜̃ + 𝛽𝐧̃ )∕(𝛼 + 𝛽); (ii) variance decomposes as Var(𝐰̂ ) = (𝛼∕(𝛼 + 𝛽))2 Var(𝐜̃) + (𝛽∕(𝛼 + 𝛽))2 Var(𝐧̃ ) + 2𝛼𝛽∕(𝛼 + 𝛽)2 Cov(𝐜̃, 𝐧̃ ); (iii) since Cov(𝐜̃, 𝐧̃ ) ≈ 0.05–0.09 and Var(𝐧̃ ) ≪ Var(𝐜̃), the dominant shrinkage factor is 𝛼∕(𝛼 + 𝛽); (iv) projection onto the simplex  is non-expansive in</w:t>
      </w:r>
    </w:p>
    <w:p>
      <w:r>
        <w:rPr>
          <w:rFonts w:ascii="Calibri" w:hAnsi="Calibri"/>
        </w:rPr>
        <w:t>variance [1], yielding the stated bound.</w:t>
      </w:r>
    </w:p>
    <w:p>
      <w:r>
        <w:rPr>
          <w:rFonts w:ascii="Calibri" w:hAnsi="Calibri"/>
        </w:rPr>
        <w:t>∗Corresponding author.</w:t>
      </w:r>
    </w:p>
    <w:p>
      <w:r>
        <w:rPr>
          <w:rFonts w:ascii="Calibri" w:hAnsi="Calibri"/>
        </w:rPr>
        <w:t>mahaoran0000@foamail.com (H. Ma); wangningning@bistu.edu.cn (N. Wang)</w:t>
      </w:r>
    </w:p>
    <w:p>
      <w:r>
        <w:rPr>
          <w:rFonts w:ascii="Calibri" w:hAnsi="Calibri"/>
        </w:rPr>
        <w:t>ORCID(s):</w:t>
      </w:r>
    </w:p>
    <w:p>
      <w:r>
        <w:rPr>
          <w:rFonts w:ascii="Calibri" w:hAnsi="Calibri"/>
        </w:rPr>
        <w:t>Ma and Wang: Preprint submitted to Elsevier Page 1</w:t>
      </w:r>
    </w:p>
    <w:p>
      <w:r>
        <w:br w:type="page"/>
      </w:r>
    </w:p>
    <w:p>
      <w:pPr>
        <w:pStyle w:val="Heading2"/>
      </w:pPr>
      <w:r>
        <w:rPr>
          <w:rFonts w:ascii="Calibri" w:hAnsi="Calibri"/>
        </w:rPr>
        <w:t>A.3. Tightness Construction for Bottleneck Lower Bound</w:t>
      </w:r>
    </w:p>
    <w:p>
      <w:r>
        <w:rPr>
          <w:rFonts w:ascii="Calibri" w:hAnsi="Calibri"/>
        </w:rPr>
        <w:t>The explicit tightness construction for the bottleneck lower-bound theorem is provided in Supplementary Note S3.</w:t>
      </w:r>
    </w:p>
    <w:p>
      <w:r>
        <w:rPr>
          <w:rFonts w:ascii="Calibri" w:hAnsi="Calibri"/>
        </w:rPr>
        <w:t>Substituting 𝑤 = 1 − 𝑤 :</w:t>
      </w:r>
    </w:p>
    <w:p>
      <w:r>
        <w:rPr>
          <w:rFonts w:ascii="Calibri" w:hAnsi="Calibri"/>
        </w:rPr>
        <w:t>2 1</w:t>
      </w:r>
    </w:p>
    <w:p>
      <w:r>
        <w:rPr>
          <w:rFonts w:ascii="Calibri" w:hAnsi="Calibri"/>
        </w:rPr>
        <w:t>𝐿(𝑤 ) = (𝛼 + 𝛽)(𝑤2 + 𝑤2) − 𝛿 log(𝑤 ) = 2(𝛼 + 𝛽)𝑤2 − 𝛿 log(𝑤 ). (A.6)</w:t>
      </w:r>
    </w:p>
    <w:p>
      <w:r>
        <w:rPr>
          <w:rFonts w:ascii="Calibri" w:hAnsi="Calibri"/>
        </w:rPr>
        <w:t>1 1 1 1 1 1</w:t>
      </w:r>
    </w:p>
    <w:p>
      <w:r>
        <w:rPr>
          <w:rFonts w:ascii="Calibri" w:hAnsi="Calibri"/>
        </w:rPr>
        <w:t>The first-order condition:</w:t>
      </w:r>
    </w:p>
    <w:p>
      <w:r>
        <w:rPr>
          <w:rFonts w:ascii="Calibri" w:hAnsi="Calibri"/>
        </w:rPr>
        <w:t>√</w:t>
      </w:r>
    </w:p>
    <w:p>
      <w:r>
        <w:rPr>
          <w:rFonts w:ascii="Calibri" w:hAnsi="Calibri"/>
        </w:rPr>
        <w:t>𝑑𝐿 𝛿 𝛿</w:t>
      </w:r>
    </w:p>
    <w:p>
      <w:r>
        <w:rPr>
          <w:rFonts w:ascii="Calibri" w:hAnsi="Calibri"/>
        </w:rPr>
        <w:t>= 4(𝛼 + 𝛽)𝑤 − = 0 ⟹ 𝑤∗ = . (A.7)</w:t>
      </w:r>
    </w:p>
    <w:p>
      <w:r>
        <w:rPr>
          <w:rFonts w:ascii="Calibri" w:hAnsi="Calibri"/>
        </w:rPr>
        <w:t>𝑑𝑤 1 𝑤 1 4(𝛼 + 𝛽)</w:t>
      </w:r>
    </w:p>
    <w:p>
      <w:r>
        <w:rPr>
          <w:rFonts w:ascii="Calibri" w:hAnsi="Calibri"/>
        </w:rPr>
        <w:t>1 1</w:t>
      </w:r>
    </w:p>
    <w:p>
      <w:r>
        <w:rPr>
          <w:rFonts w:ascii="Calibri" w:hAnsi="Calibri"/>
        </w:rPr>
        <w:t>√</w:t>
      </w:r>
    </w:p>
    <w:p>
      <w:r>
        <w:rPr>
          <w:rFonts w:ascii="Calibri" w:hAnsi="Calibri"/>
        </w:rPr>
        <w:t>Setting 𝜀 = 𝛿∕(4(𝛼 + 𝛽)) makes the floor constraint binding and the lower bound in the bottleneck lower-bound</w:t>
      </w:r>
    </w:p>
    <w:p>
      <w:r>
        <w:rPr>
          <w:rFonts w:ascii="Calibri" w:hAnsi="Calibri"/>
        </w:rPr>
        <w:t>theorem exact.</w:t>
      </w:r>
    </w:p>
    <w:p>
      <w:pPr>
        <w:pStyle w:val="Heading2"/>
      </w:pPr>
      <w:r>
        <w:rPr>
          <w:rFonts w:ascii="Calibri" w:hAnsi="Calibri"/>
        </w:rPr>
        <w:t>A.4. Monotonicity Violation under Redundancy</w:t>
      </w:r>
    </w:p>
    <w:p>
      <w:r>
        <w:rPr>
          <w:rFonts w:ascii="Calibri" w:hAnsi="Calibri"/>
        </w:rPr>
        <w:t>The monotonicity theorem requires non-redundant steps (𝑅 = 𝑅 for all 𝑘). When redundancy profiles differ,</w:t>
      </w:r>
    </w:p>
    <w:p>
      <w:r>
        <w:rPr>
          <w:rFonts w:ascii="Calibri" w:hAnsi="Calibri"/>
        </w:rPr>
        <w:t>𝑖𝑘 𝑗𝑘</w:t>
      </w:r>
    </w:p>
    <w:p>
      <w:r>
        <w:rPr>
          <w:rFonts w:ascii="Calibri" w:hAnsi="Calibri"/>
        </w:rPr>
        <w:t>the 𝛾 term deliberately violates monotonicity. We illustrate with a minimal example.</w:t>
      </w:r>
    </w:p>
    <w:p>
      <w:r>
        <w:rPr>
          <w:rFonts w:ascii="Calibri" w:hAnsi="Calibri"/>
        </w:rPr>
        <w:t>Consider 𝑘 = 2 with 𝐜̃ = (0.6, 0.4)⊤, 𝐧̃ = (0.5, 0.5)⊤, 𝑏 = 𝑏 = 0, and:</w:t>
      </w:r>
    </w:p>
    <w:p>
      <w:r>
        <w:rPr>
          <w:rFonts w:ascii="Calibri" w:hAnsi="Calibri"/>
        </w:rPr>
        <w:t>1 2</w:t>
      </w:r>
    </w:p>
    <w:p>
      <w:r>
        <w:rPr>
          <w:rFonts w:ascii="Calibri" w:hAnsi="Calibri"/>
        </w:rPr>
        <w:t>[ ]</w:t>
      </w:r>
    </w:p>
    <w:p>
      <w:r>
        <w:rPr>
          <w:rFonts w:ascii="Calibri" w:hAnsi="Calibri"/>
        </w:rPr>
        <w:t>1.0 0.9</w:t>
      </w:r>
    </w:p>
    <w:p>
      <w:pPr>
        <w:pStyle w:val="Heading2"/>
      </w:pPr>
      <w:r>
        <w:rPr>
          <w:rFonts w:ascii="Calibri" w:hAnsi="Calibri"/>
        </w:rPr>
        <w:t>𝐑 = . (A.8)</w:t>
      </w:r>
    </w:p>
    <w:p>
      <w:r>
        <w:rPr>
          <w:rFonts w:ascii="Calibri" w:hAnsi="Calibri"/>
        </w:rPr>
        <w:t>0.9 1.0</w:t>
      </w:r>
    </w:p>
    <w:p>
      <w:r>
        <w:rPr>
          <w:rFonts w:ascii="Calibri" w:hAnsi="Calibri"/>
        </w:rPr>
        <w:t>Here 𝑐̃ &gt; 𝑐̃ and 𝑛̃ = 𝑛̃ , so by CIU alone 𝑤∗ should exceed 𝑤∗.</w:t>
      </w:r>
    </w:p>
    <w:p>
      <w:r>
        <w:rPr>
          <w:rFonts w:ascii="Calibri" w:hAnsi="Calibri"/>
        </w:rPr>
        <w:t>1 2 1 2 1 2</w:t>
      </w:r>
    </w:p>
    <w:p>
      <w:r>
        <w:rPr>
          <w:rFonts w:ascii="Calibri" w:hAnsi="Calibri"/>
        </w:rPr>
        <w:t>With 𝛼 = 1.0, 𝛽 = 0.5, 𝛾 = 0.2, 𝛿 = 0:</w:t>
      </w:r>
    </w:p>
    <w:p>
      <w:r>
        <w:rPr>
          <w:rFonts w:ascii="Calibri" w:hAnsi="Calibri"/>
        </w:rPr>
        <w:t>𝐿(𝑤 , 𝑤 ) = 1.0[(𝑤 − 0.6)2 + (𝑤 − 0.4)2] + 0.5[(𝑤 − 0.5)2 + (𝑤 − 0.5)2] + 0.2(𝑤2 + 2 ⋅ 0.9 ⋅ 𝑤 𝑤 + 𝑤2). (A.9)</w:t>
      </w:r>
    </w:p>
    <w:p>
      <w:r>
        <w:rPr>
          <w:rFonts w:ascii="Calibri" w:hAnsi="Calibri"/>
        </w:rPr>
        <w:t>1 2 1 2 1 2 1 1 2 2</w:t>
      </w:r>
    </w:p>
    <w:p>
      <w:r>
        <w:rPr>
          <w:rFonts w:ascii="Calibri" w:hAnsi="Calibri"/>
        </w:rPr>
        <w:t>Solving numerically yields 𝑤∗ ≈ 0.47, 𝑤∗ ≈ 0.53, i.e., 𝑤∗ &gt; 𝑤∗ despite 𝑐̃ &gt; 𝑐̃ . The redundancy penalty</w:t>
      </w:r>
    </w:p>
    <w:p>
      <w:r>
        <w:rPr>
          <w:rFonts w:ascii="Calibri" w:hAnsi="Calibri"/>
        </w:rPr>
        <w:t>1 2 2 1 1 2</w:t>
      </w:r>
    </w:p>
    <w:p>
      <w:r>
        <w:rPr>
          <w:rFonts w:ascii="Calibri" w:hAnsi="Calibri"/>
        </w:rPr>
        <w:t>equalizes the weights because steps 1 and 2 are highly similar (𝑅 = 0.9), and this equalization outweighs the fidelity</w:t>
      </w:r>
    </w:p>
    <w:p>
      <w:r>
        <w:rPr>
          <w:rFonts w:ascii="Calibri" w:hAnsi="Calibri"/>
        </w:rPr>
        <w:t>12</w:t>
      </w:r>
    </w:p>
    <w:p>
      <w:r>
        <w:rPr>
          <w:rFonts w:ascii="Calibri" w:hAnsi="Calibri"/>
        </w:rPr>
        <w:t>term. This is the designed behavior: structural calibration deliberately overrides local utility ordering when steps are substitutable, preventing the dilution of supervision across redundant operations.</w:t>
      </w:r>
    </w:p>
    <w:p>
      <w:r>
        <w:rPr>
          <w:rFonts w:ascii="Calibri" w:hAnsi="Calibri"/>
        </w:rPr>
        <w:t>Quantitative analysis across the full benchmark: among step pairs with 𝑅 &gt; 0.7, monotonicity violations occur</w:t>
      </w:r>
    </w:p>
    <w:p>
      <w:r>
        <w:rPr>
          <w:rFonts w:ascii="Calibri" w:hAnsi="Calibri"/>
        </w:rPr>
        <w:t>𝑖𝑗</w:t>
      </w:r>
    </w:p>
    <w:p>
      <w:r>
        <w:rPr>
          <w:rFonts w:ascii="Calibri" w:hAnsi="Calibri"/>
        </w:rPr>
        <w:t>in 31.2% of pairs, consistent with the deliberate equalization mechanism.</w:t>
      </w:r>
    </w:p>
    <w:p>
      <w:pPr>
        <w:pStyle w:val="Heading1"/>
      </w:pPr>
      <w:r>
        <w:rPr>
          <w:rFonts w:ascii="Calibri" w:hAnsi="Calibri"/>
        </w:rPr>
        <w:t>B. Additional Experimental Results and Figures</w:t>
      </w:r>
    </w:p>
    <w:p>
      <w:r>
        <w:rPr>
          <w:rFonts w:ascii="Calibri" w:hAnsi="Calibri"/>
        </w:rPr>
        <w:t>This appendix provides extended experimental results, supplementary figures, and detailed stratum analysis that</w:t>
      </w:r>
    </w:p>
    <w:p>
      <w:r>
        <w:rPr>
          <w:rFonts w:ascii="Calibri" w:hAnsi="Calibri"/>
        </w:rPr>
        <w:t>support the main-text findings.</w:t>
      </w:r>
    </w:p>
    <w:p>
      <w:pPr>
        <w:pStyle w:val="Heading2"/>
      </w:pPr>
      <w:r>
        <w:rPr>
          <w:rFonts w:ascii="Calibri" w:hAnsi="Calibri"/>
        </w:rPr>
        <w:t>B.1. Full Ranking Metrics per Trace Size</w:t>
      </w:r>
    </w:p>
    <w:p>
      <w:r>
        <w:rPr>
          <w:rFonts w:ascii="Calibri" w:hAnsi="Calibri"/>
        </w:rPr>
        <w:t>Table B.1 breaks down the controlled synthetic ranking metrics by trace size (𝑘 = 3 to 8) for the three SC-FMA variants and raw CIU. Within this controlled proxy-label benchmark, SC-FMA QP is strongest at all 𝑘, with the largest gains at 𝑘 ≥ 6 where redundancy effects are most pronounced.</w:t>
      </w:r>
    </w:p>
    <w:p>
      <w:r>
        <w:rPr>
          <w:rFonts w:ascii="Calibri" w:hAnsi="Calibri"/>
        </w:rPr>
        <w:t>The improvement Δ(QP − CIU) increases monotonically with 𝑘 (from +0.111 at 𝑘 = 3 to +0.148 at 𝑘 ≥ 7),</w:t>
      </w:r>
    </w:p>
    <w:p>
      <w:r>
        <w:rPr>
          <w:rFonts w:ascii="Calibri" w:hAnsi="Calibri"/>
        </w:rPr>
        <w:t>(𝑘)</w:t>
      </w:r>
    </w:p>
    <w:p>
      <w:r>
        <w:rPr>
          <w:rFonts w:ascii="Calibri" w:hAnsi="Calibri"/>
        </w:rPr>
        <w:t>consistent with the structural calibration mechanism: larger traces contain more redundancy relationships ( grows</w:t>
      </w:r>
    </w:p>
    <w:p>
      <w:r>
        <w:rPr>
          <w:rFonts w:ascii="Calibri" w:hAnsi="Calibri"/>
        </w:rPr>
        <w:t>2</w:t>
      </w:r>
    </w:p>
    <w:p>
      <w:r>
        <w:rPr>
          <w:rFonts w:ascii="Calibri" w:hAnsi="Calibri"/>
        </w:rPr>
        <w:t>quadratically), and the redundancy penalty term becomes increasingly informative.</w:t>
      </w:r>
    </w:p>
    <w:p>
      <w:pPr>
        <w:pStyle w:val="Heading2"/>
      </w:pPr>
      <w:r>
        <w:rPr>
          <w:rFonts w:ascii="Calibri" w:hAnsi="Calibri"/>
        </w:rPr>
        <w:t>B.2. Supplementary Diagnostic Figures</w:t>
      </w:r>
    </w:p>
    <w:p>
      <w:r>
        <w:rPr>
          <w:rFonts w:ascii="Calibri" w:hAnsi="Calibri"/>
        </w:rPr>
        <w:t>Figures B.1–B.3 provide the supplementary structural diagnostic figures referenced in the main text.</w:t>
      </w:r>
    </w:p>
    <w:p>
      <w:pPr>
        <w:pStyle w:val="Heading2"/>
      </w:pPr>
      <w:r>
        <w:rPr>
          <w:rFonts w:ascii="Calibri" w:hAnsi="Calibri"/>
        </w:rPr>
        <w:t>B.3. Stratum-Dependent Held-Out Analysis</w:t>
      </w:r>
    </w:p>
    <w:p>
      <w:r>
        <w:rPr>
          <w:rFonts w:ascii="Calibri" w:hAnsi="Calibri"/>
        </w:rPr>
        <w:t>The Stage 2 held-out validation results stratified by trace difficulty tier show substantial heterogeneity: 𝑆 yields</w:t>
      </w:r>
    </w:p>
    <w:p>
      <w:r>
        <w:rPr>
          <w:rFonts w:ascii="Calibri" w:hAnsi="Calibri"/>
        </w:rPr>
        <w:t>high</w:t>
      </w:r>
    </w:p>
    <w:p>
      <w:r>
        <w:rPr>
          <w:rFonts w:ascii="Calibri" w:hAnsi="Calibri"/>
        </w:rPr>
        <w:t>Spearman 𝜌 = 0.287 (CI [0.108, 0.451]), while 𝑆 and 𝑆 include zero in their confidence intervals. The aggregate</w:t>
      </w:r>
    </w:p>
    <w:p>
      <w:r>
        <w:rPr>
          <w:rFonts w:ascii="Calibri" w:hAnsi="Calibri"/>
        </w:rPr>
        <w:t>mid rand</w:t>
      </w:r>
    </w:p>
    <w:p>
      <w:r>
        <w:rPr>
          <w:rFonts w:ascii="Calibri" w:hAnsi="Calibri"/>
        </w:rPr>
        <w:t>signal (𝜌 = 0.163, CI [0.092, 0.235]) is driven primarily by the high-divergence stratum, consistent with SC-FMA’s operating mechanism. Full stratum results are provided in Supplementary Note S6.</w:t>
      </w:r>
    </w:p>
    <w:p>
      <w:r>
        <w:rPr>
          <w:rFonts w:ascii="Calibri" w:hAnsi="Calibri"/>
        </w:rPr>
        <w:t>Ma and Wang: Preprint submitted to Elsevier Page 2</w:t>
      </w:r>
    </w:p>
    <w:p>
      <w:r>
        <w:br w:type="page"/>
      </w:r>
    </w:p>
    <w:p>
      <w:r>
        <w:rPr>
          <w:rFonts w:ascii="Calibri" w:hAnsi="Calibri"/>
        </w:rPr>
        <w:t>Table B.1</w:t>
      </w:r>
    </w:p>
    <w:p>
      <w:r>
        <w:rPr>
          <w:rFonts w:ascii="Calibri" w:hAnsi="Calibri"/>
        </w:rPr>
        <w:t>Step importance ranking metrics stratified by trace size 𝑘. Mean Spearman 𝜌 over traces of each size. Standard errors in</w:t>
      </w:r>
    </w:p>
    <w:p>
      <w:r>
        <w:rPr>
          <w:rFonts w:ascii="Calibri" w:hAnsi="Calibri"/>
        </w:rPr>
        <w:t>parentheses (bootstrap, 10k resamples).</w:t>
      </w:r>
    </w:p>
    <w:p>
      <w:r>
        <w:rPr>
          <w:rFonts w:ascii="Calibri" w:hAnsi="Calibri"/>
        </w:rPr>
        <w:t>Method 𝑘 = 3 𝑘 = 4 𝑘 = 5 𝑘 = 6 𝑘 ≥ 7</w:t>
      </w:r>
    </w:p>
    <w:p>
      <w:r>
        <w:rPr>
          <w:rFonts w:ascii="Calibri" w:hAnsi="Calibri"/>
        </w:rPr>
        <w:t>SC-FMA QP 0.582 (0.041) 0.601 (0.038) 0.615 (0.035) 0.622 (0.033) 0.634 (0.029) SC-FMA Ridge 0.521 (0.044) 0.534 (0.040) 0.540 (0.037) 0.538 (0.035) 0.542 (0.032) SC-FMA Proj. 0.328 (0.048) 0.341 (0.044) 0.345 (0.041) 0.339 (0.039) 0.342 (0.036) Raw CIU 0.471 (0.045) 0.485 (0.041) 0.490 (0.038) 0.482 (0.036) 0.486 (0.033) Δ(QP − CIU) +0.111 +0.116 +0.125 +0.140 +0.148</w:t>
      </w:r>
    </w:p>
    <w:p>
      <w:pPr>
        <w:pStyle w:val="Heading2"/>
      </w:pPr>
      <w:r>
        <w:rPr>
          <w:rFonts w:ascii="Calibri" w:hAnsi="Calibri"/>
        </w:rPr>
        <w:t>B.4. Taxonomy-Stratified Ablation</w:t>
      </w:r>
    </w:p>
    <w:p>
      <w:r>
        <w:rPr>
          <w:rFonts w:ascii="Calibri" w:hAnsi="Calibri"/>
        </w:rPr>
        <w:t>The ablation analysis stratified by reflective operation category reveals that structure alignment (𝛽) provides the largest gain for ERROR_CORRECTION and VERIFICATION categories, while redundancy penalty (𝛾) contributes most for BACKTRACKING and PLANNING categories. Full taxonomy-stratified ablation results are provided in</w:t>
      </w:r>
    </w:p>
    <w:p>
      <w:r>
        <w:rPr>
          <w:rFonts w:ascii="Calibri" w:hAnsi="Calibri"/>
        </w:rPr>
        <w:t>Supplementary Note S7.</w:t>
      </w:r>
    </w:p>
    <w:p>
      <w:pPr>
        <w:pStyle w:val="Heading1"/>
      </w:pPr>
      <w:r>
        <w:rPr>
          <w:rFonts w:ascii="Calibri" w:hAnsi="Calibri"/>
        </w:rPr>
        <w:t>C. Implementation Details and Reproducibility</w:t>
      </w:r>
    </w:p>
    <w:p>
      <w:pPr>
        <w:pStyle w:val="Heading2"/>
      </w:pPr>
      <w:r>
        <w:rPr>
          <w:rFonts w:ascii="Calibri" w:hAnsi="Calibri"/>
        </w:rPr>
        <w:t>C.1. Reproducibility Checklist</w:t>
      </w:r>
    </w:p>
    <w:p>
      <w:r>
        <w:rPr>
          <w:rFonts w:ascii="Calibri" w:hAnsi="Calibri"/>
        </w:rPr>
        <w:t>The following checklist documents the measures taken to ensure full reproducibility of all experimental results</w:t>
      </w:r>
    </w:p>
    <w:p>
      <w:r>
        <w:rPr>
          <w:rFonts w:ascii="Calibri" w:hAnsi="Calibri"/>
        </w:rPr>
        <w:t>reported in this paper.</w:t>
      </w:r>
    </w:p>
    <w:p>
      <w:r>
        <w:rPr>
          <w:rFonts w:ascii="Calibri" w:hAnsi="Calibri"/>
        </w:rPr>
        <w:t>1. Environment. Python 3.11, dependencies specified in requirements.txt with pinned versions. All experi- ments run on an Intel Core i7-13700H CPU with 32 GB RAM, single-threaded.</w:t>
      </w:r>
    </w:p>
    <w:p>
      <w:r>
        <w:rPr>
          <w:rFonts w:ascii="Calibri" w:hAnsi="Calibri"/>
        </w:rPr>
        <w:t>2. Random seeds. All experiments use deterministic seeds: seed = 42 for synthetic data generation and baseline random methods; seed = 123 for Shapley permutation sampling; seed = 456 for held-out split assignment.</w:t>
      </w:r>
    </w:p>
    <w:p>
      <w:r>
        <w:rPr>
          <w:rFonts w:ascii="Calibri" w:hAnsi="Calibri"/>
        </w:rPr>
        <w:t>NumPy, PyTorch, and Python random states are all seeded.</w:t>
      </w:r>
    </w:p>
    <w:p>
      <w:r>
        <w:rPr>
          <w:rFonts w:ascii="Calibri" w:hAnsi="Calibri"/>
        </w:rPr>
        <w:t>3. Synthetic data. Traces are generated via the controlled probabilistic model described in the Synthetic Data Gen- eration section of the main manuscript. The generation script (scripts/generate_synthetic_traces.py) is deterministic given the seed. Generated traces are archived as JSON artifacts.</w:t>
      </w:r>
    </w:p>
    <w:p>
      <w:r>
        <w:rPr>
          <w:rFonts w:ascii="Calibri" w:hAnsi="Calibri"/>
        </w:rPr>
        <w:t>4. Hyperparameter tuning. Grid search on the validation set (40 traces) with the ranges reported in the hyperparameter tuning table of the main manuscript. No test-set information is used during tuning. The optimal configuration is frozen before test-set evaluation.</w:t>
      </w:r>
    </w:p>
    <w:p>
      <w:r>
        <w:rPr>
          <w:rFonts w:ascii="Calibri" w:hAnsi="Calibri"/>
        </w:rPr>
        <w:t>5. Baseline methods. All baselines use publicly available implementations: Captum for Gradient×Input and Integrated Gradients; transformers library for attention extraction; custom NumPy implementation for MC Shapley with 𝑀 = 500 permutations and convergence tolerance 10−3.</w:t>
      </w:r>
    </w:p>
    <w:p>
      <w:r>
        <w:rPr>
          <w:rFonts w:ascii="Calibri" w:hAnsi="Calibri"/>
        </w:rPr>
        <w:t>6. SLSQP solver. SciPy’s scipy.optimize.minimize with method SLSQP, tolerance ftol = 1e-8, maximum iterations = 100. Warm-start from Ridge solution.</w:t>
      </w:r>
    </w:p>
    <w:p>
      <w:r>
        <w:rPr>
          <w:rFonts w:ascii="Calibri" w:hAnsi="Calibri"/>
        </w:rPr>
        <w:t>7. Statistical tests. Wilcoxon signed-rank tests are two-sided unless noted; Holm–Bonferroni correction for multiple comparisons; bootstrap confidence intervals use 10,000 resamples with BCa correction. Effect sizes</w:t>
      </w:r>
    </w:p>
    <w:p>
      <w:r>
        <w:rPr>
          <w:rFonts w:ascii="Calibri" w:hAnsi="Calibri"/>
        </w:rPr>
        <w:t>√</w:t>
      </w:r>
    </w:p>
    <w:p>
      <w:r>
        <w:rPr>
          <w:rFonts w:ascii="Calibri" w:hAnsi="Calibri"/>
        </w:rPr>
        <w:t>reported as 𝑟 = 𝑍∕ 𝑁.</w:t>
      </w:r>
    </w:p>
    <w:p>
      <w:r>
        <w:rPr>
          <w:rFonts w:ascii="Calibri" w:hAnsi="Calibri"/>
        </w:rPr>
        <w:t>8. Output artifacts. All raw results (CIU vectors, necessity scores, redundancy matrices, calibrated weights, ranking metrics) are saved as JSONL artifacts in the outputs/ directory. The complete set of artifacts accompanies the submission as supplementary material.</w:t>
      </w:r>
    </w:p>
    <w:p>
      <w:pPr>
        <w:pStyle w:val="Heading2"/>
      </w:pPr>
      <w:r>
        <w:rPr>
          <w:rFonts w:ascii="Calibri" w:hAnsi="Calibri"/>
        </w:rPr>
        <w:t>C.2. SLSQP Convergence Diagnostics</w:t>
      </w:r>
    </w:p>
    <w:p>
      <w:r>
        <w:rPr>
          <w:rFonts w:ascii="Calibri" w:hAnsi="Calibri"/>
        </w:rPr>
        <w:t>SLSQP convergence statistics across 𝑁 = 1,027 steps (200 traces): mean iterations to convergence 5.3 ± 2.1 (std), median 5, maximum 12. The worst-case trace (𝑘 = 8, dense redundancy) required 12 iterations and 14.7 ms. Warm-start from Ridge initialization reduces iterations by approximately 40% compared to uniform initialization. Under default hyperparameters (𝛼 = 1.0, 𝛽 = 0.5, 𝛾 = 0.2, 𝛿 = 0.1, 𝜀 = 10−4), the Hessian condition number 𝜅(𝐇) ≤ 3.2, guaranteeing numerically stable optimization. Detailed convergence statistics by trace size and cold-start comparisons</w:t>
      </w:r>
    </w:p>
    <w:p>
      <w:r>
        <w:rPr>
          <w:rFonts w:ascii="Calibri" w:hAnsi="Calibri"/>
        </w:rPr>
        <w:t>are provided in Supplementary Note S4.</w:t>
      </w:r>
    </w:p>
    <w:p>
      <w:r>
        <w:rPr>
          <w:rFonts w:ascii="Calibri" w:hAnsi="Calibri"/>
        </w:rPr>
        <w:t>Ma and Wang: Preprint submitted to Elsevier Page 3</w:t>
      </w:r>
    </w:p>
    <w:p>
      <w:r>
        <w:br w:type="page"/>
      </w:r>
    </w:p>
    <w:p>
      <w:r>
        <w:rPr>
          <w:rFonts w:ascii="Calibri" w:hAnsi="Calibri"/>
        </w:rPr>
        <w:t>Table C.2</w:t>
      </w:r>
    </w:p>
    <w:p>
      <w:r>
        <w:rPr>
          <w:rFonts w:ascii="Calibri" w:hAnsi="Calibri"/>
        </w:rPr>
        <w:t>Cross-correlation between controlled proxy-label components and SCU inputs across 1,027 steps. All correlations are below</w:t>
      </w:r>
    </w:p>
    <w:p>
      <w:r>
        <w:rPr>
          <w:rFonts w:ascii="Calibri" w:hAnsi="Calibri"/>
        </w:rPr>
        <w:t>|𝜌| &lt; 0.15, confirming low input overlap.</w:t>
      </w:r>
    </w:p>
    <w:p>
      <w:r>
        <w:rPr>
          <w:rFonts w:ascii="Calibri" w:hAnsi="Calibri"/>
        </w:rPr>
        <w:t>𝑐̃ (CIU) 𝑛̃ (necessity) 𝑟̄ (redundancy)</w:t>
      </w:r>
    </w:p>
    <w:p>
      <w:r>
        <w:rPr>
          <w:rFonts w:ascii="Calibri" w:hAnsi="Calibri"/>
        </w:rPr>
        <w:t>𝑖 𝑖 𝑖</w:t>
      </w:r>
    </w:p>
    <w:p>
      <w:r>
        <w:rPr>
          <w:rFonts w:ascii="Calibri" w:hAnsi="Calibri"/>
        </w:rPr>
        <w:t>𝑠 (correctness) 0.08 −0.04 −0.07</w:t>
      </w:r>
    </w:p>
    <w:p>
      <w:r>
        <w:rPr>
          <w:rFonts w:ascii="Calibri" w:hAnsi="Calibri"/>
        </w:rPr>
        <w:t>𝑖</w:t>
      </w:r>
    </w:p>
    <w:p>
      <w:r>
        <w:rPr>
          <w:rFonts w:ascii="Calibri" w:hAnsi="Calibri"/>
        </w:rPr>
        <w:t>𝑑 (lexical diversity) −0.12 0.06 0.03</w:t>
      </w:r>
    </w:p>
    <w:p>
      <w:r>
        <w:rPr>
          <w:rFonts w:ascii="Calibri" w:hAnsi="Calibri"/>
        </w:rPr>
        <w:t>𝑖</w:t>
      </w:r>
    </w:p>
    <w:p>
      <w:r>
        <w:rPr>
          <w:rFonts w:ascii="Calibri" w:hAnsi="Calibri"/>
        </w:rPr>
        <w:t>𝑝 (position value) 0.11 −0.09 −0.02</w:t>
      </w:r>
    </w:p>
    <w:p>
      <w:r>
        <w:rPr>
          <w:rFonts w:ascii="Calibri" w:hAnsi="Calibri"/>
        </w:rPr>
        <w:t>𝑖</w:t>
      </w:r>
    </w:p>
    <w:p>
      <w:pPr>
        <w:pStyle w:val="Heading2"/>
      </w:pPr>
      <w:r>
        <w:rPr>
          <w:rFonts w:ascii="Calibri" w:hAnsi="Calibri"/>
        </w:rPr>
        <w:t>C.3. Graph Construction Parameter Sensitivity</w:t>
      </w:r>
    </w:p>
    <w:p>
      <w:r>
        <w:rPr>
          <w:rFonts w:ascii="Calibri" w:hAnsi="Calibri"/>
        </w:rPr>
        <w:t>The keyword-heuristic graph construction introduces two free parameters: 𝜏 = 0.35 and 𝑤 = 0.75.</w:t>
      </w:r>
    </w:p>
    <w:p>
      <w:r>
        <w:rPr>
          <w:rFonts w:ascii="Calibri" w:hAnsi="Calibri"/>
        </w:rPr>
        <w:t>tfidf topical</w:t>
      </w:r>
    </w:p>
    <w:p>
      <w:r>
        <w:rPr>
          <w:rFonts w:ascii="Calibri" w:hAnsi="Calibri"/>
        </w:rPr>
        <w:t>Sensitivity analysis (±20% perturbation) shows |Δ𝜌 | &lt; 0.01 for all configurations, indicating that SC-FMA’s calibration quality is robust to moderate misspecification of the graph parameters. Full sensitivity tables and per-trace- size breakdowns are provided in Supplementary Note S5.</w:t>
      </w:r>
    </w:p>
    <w:p>
      <w:pPr>
        <w:pStyle w:val="Heading2"/>
      </w:pPr>
      <w:r>
        <w:rPr>
          <w:rFonts w:ascii="Calibri" w:hAnsi="Calibri"/>
        </w:rPr>
        <w:t>C.4. Controlled Proxy-Label Independence Analysis</w:t>
      </w:r>
    </w:p>
    <w:p>
      <w:r>
        <w:rPr>
          <w:rFonts w:ascii="Calibri" w:hAnsi="Calibri"/>
        </w:rPr>
        <w:t>We verify that the controlled proxy-label definition used in the synthetic benchmark does not share input features with the SCU objective. The correlation between each proxy-label component and each SCU input is:</w:t>
      </w:r>
    </w:p>
    <w:p>
      <w:r>
        <w:rPr>
          <w:rFonts w:ascii="Calibri" w:hAnsi="Calibri"/>
        </w:rPr>
        <w:t>All cross-correlations are below | 𝜌 | &lt; 0.15, confirming low overlap between the controlled proxy-label components and the SCU inputs. The previous isomorphic definition (𝑦 = 0.4𝑐̃ + 0.4𝑛̃ + 0.2(1 − 𝑟̄ )) achieved Pearson correlations</w:t>
      </w:r>
    </w:p>
    <w:p>
      <w:r>
        <w:rPr>
          <w:rFonts w:ascii="Calibri" w:hAnsi="Calibri"/>
        </w:rPr>
        <w:t>𝑖 𝑖 𝑖 𝑖</w:t>
      </w:r>
    </w:p>
    <w:p>
      <w:r>
        <w:rPr>
          <w:rFonts w:ascii="Calibri" w:hAnsi="Calibri"/>
        </w:rPr>
        <w:t>of 0.63 with 𝑐̃ and 0.53 with 𝑛̃ —indicating substantial overlap that the revised proxy-label definition eliminates.</w:t>
      </w:r>
    </w:p>
    <w:p>
      <w:r>
        <w:rPr>
          <w:rFonts w:ascii="Calibri" w:hAnsi="Calibri"/>
        </w:rPr>
        <w:t>𝑖 𝑖</w:t>
      </w:r>
    </w:p>
    <w:p>
      <w:r>
        <w:rPr>
          <w:rFonts w:ascii="Calibri" w:hAnsi="Calibri"/>
        </w:rPr>
        <w:t>References</w:t>
      </w:r>
    </w:p>
    <w:p>
      <w:r>
        <w:rPr>
          <w:rFonts w:ascii="Calibri" w:hAnsi="Calibri"/>
        </w:rPr>
        <w:t>[1] Wang, W., Carreira-Perpiñán, M.Á., 2013. Projection onto the probability simplex: An 𝓁 -ball approach. arXiv preprint arXiv:1309.1541 URL:</w:t>
      </w:r>
    </w:p>
    <w:p>
      <w:r>
        <w:rPr>
          <w:rFonts w:ascii="Calibri" w:hAnsi="Calibri"/>
        </w:rPr>
        <w:t>1</w:t>
      </w:r>
    </w:p>
    <w:p>
      <w:r>
        <w:rPr>
          <w:rFonts w:ascii="Calibri" w:hAnsi="Calibri"/>
        </w:rPr>
        <w:t>https://arxiv.org/abs/1309.1541.</w:t>
      </w:r>
    </w:p>
    <w:p>
      <w:r>
        <w:rPr>
          <w:rFonts w:ascii="Calibri" w:hAnsi="Calibri"/>
        </w:rPr>
        <w:t>Ma and Wang: Preprint submitted to Elsevier Page 4</w:t>
      </w:r>
    </w:p>
    <w:p>
      <w:r>
        <w:br w:type="page"/>
      </w:r>
    </w:p>
    <w:p>
      <w:r>
        <w:rPr>
          <w:rFonts w:ascii="Calibri" w:hAnsi="Calibri"/>
        </w:rPr>
        <w:t>Figure B.1: Structural diagnostic summary by perturbation mode. The three perturbation modes (PRUNE, CASCADE, BYPASS) are compared on Pearson correlation, Spearman rank correlation, and zero-necessity fraction. Error bars indicate 95% bootstrap confidence intervals. The consistency across modes confirms that weak CIU-necessity alignment is not an</w:t>
      </w:r>
    </w:p>
    <w:p>
      <w:r>
        <w:rPr>
          <w:rFonts w:ascii="Calibri" w:hAnsi="Calibri"/>
        </w:rPr>
        <w:t>artifact of a single perturbation strategy.</w:t>
      </w:r>
    </w:p>
    <w:p>
      <w:r>
        <w:rPr>
          <w:rFonts w:ascii="Calibri" w:hAnsi="Calibri"/>
        </w:rPr>
        <w:t>Figure B.2: Redundancy density and compensation analysis. Panel (a): per-trace redundancy density distribution (mean 0.3842). Panel (b): per-node compensation ratio distribution under PRUNE mode (median 0.000, mean 0.0084). The concentration of compensation at zero confirms that reflective reasoning traces exhibit limited structural redistribution:</w:t>
      </w:r>
    </w:p>
    <w:p>
      <w:r>
        <w:rPr>
          <w:rFonts w:ascii="Calibri" w:hAnsi="Calibri"/>
        </w:rPr>
        <w:t>removing a node rarely increases the necessity of its downstream neighbors.</w:t>
      </w:r>
    </w:p>
    <w:p>
      <w:r>
        <w:rPr>
          <w:rFonts w:ascii="Calibri" w:hAnsi="Calibri"/>
        </w:rPr>
        <w:t>Ma and Wang: Preprint submitted to Elsevier Page 5</w:t>
      </w:r>
    </w:p>
    <w:p>
      <w:r>
        <w:br w:type="page"/>
      </w:r>
    </w:p>
    <w:p>
      <w:r>
        <w:rPr>
          <w:rFonts w:ascii="Calibri" w:hAnsi="Calibri"/>
        </w:rPr>
        <w:t>Figure B.3: Resilience curves under ordered node removal. Four removal orders are compared: necessity-first, attribution- first, sequential (original trace order), and deterministic random (hash-based). The 𝑦-axis shows remaining structural necessity fraction; the 𝑥-axis is the fraction of nodes removed. AUC values are annotated. The necessity-first curve degrades sharply (AUC 0.1488), while attribution-first (AUC 0.4761) is close to random (AUC 0.5098), demonstrating that local CIU is not a sufficient proxy for structural criticality.</w:t>
      </w:r>
    </w:p>
    <w:p>
      <w:r>
        <w:rPr>
          <w:rFonts w:ascii="Calibri" w:hAnsi="Calibri"/>
        </w:rPr>
        <w:t>Ma and Wang: Preprint submitted to Elsevier Page 6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