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w:t>
      </w:r>
    </w:p>
    <w:p>
      <w:r>
        <w:t>June 24, 2026</w:t>
      </w:r>
    </w:p>
    <w:p>
      <w:r>
        <w:t>Editorial Office</w:t>
      </w:r>
    </w:p>
    <w:p>
      <w:r>
        <w:t>Knowledge-Based Systems</w:t>
      </w:r>
    </w:p>
    <w:p>
      <w:r>
        <w:t>Elsevier</w:t>
      </w:r>
    </w:p>
    <w:p>
      <w:r>
        <w:t>Dear Editor,</w:t>
      </w:r>
    </w:p>
    <w:p>
      <w:r>
        <w:t>We are pleased to submit our manuscript, "Structurally-Calibrated Functional Attribution for Audit Prioritization in Knowledge-Intensive Reasoning", for consideration as a regular article in Knowledge-Based Systems.</w:t>
      </w:r>
    </w:p>
    <w:p>
      <w:r>
        <w:t>The manuscript presents Structurally-Calibrated Functional Attribution (SC-FMA), a method for auditable verification-step weighting in knowledge-intensive reasoning systems. We believe it fits Knowledge-Based Systems because it treats process supervision as a knowledge-structured decision-support problem: verification steps are weighted not only by local utility, but also by graph dependencies, redundancy, and bottleneck roles.</w:t>
      </w:r>
    </w:p>
    <w:p>
      <w:r>
        <w:t>The evidence package includes a controlled synthetic benchmark where QP and Ridge are comparable but QP is strongest, locked PRM800K step-label evidence where w_struct is the primary real-data signal and Ridge is the closest SC-FMA approximation, and a new offline PRM800K audit-prioritization readout for fixed review budgets. The PRM800K stratified readout provides moderate, preliminary real-data support for PRM800K-like audit prioritization. The claim boundary is explicit: the submission does not claim downstream PRM training gains, GSM8K/HotpotQA replay validation, out-of-distribution transfer, or deployed knowledge-base workflow validation.</w:t>
      </w:r>
    </w:p>
    <w:p>
      <w:r>
        <w:t>This work was supported by the National Social Science Fund of China Project (24BSH018) and the Beijing Natural Science Foundation Project (L252145). The authors declared that they have no conflicts of interest to this work. PRM800K is publicly available from its original source; derived reports and reproduction artifacts will be made available by the authors on request.</w:t>
      </w:r>
    </w:p>
    <w:p>
      <w:r>
        <w:t>Correspondence may be directed to Ningning Wang at wangningning@bistu.edu.cn. Haoran Ma can be reached at mahaoran0000@foamail.com.</w:t>
      </w:r>
    </w:p>
    <w:p>
      <w:r>
        <w:t>Thank you for considering our submission.</w:t>
      </w:r>
    </w:p>
    <w:p>
      <w:r>
        <w:t>Sincerely,</w:t>
      </w:r>
    </w:p>
    <w:p>
      <w:r>
        <w:t>Haoran Ma</w:t>
      </w:r>
    </w:p>
    <w:p>
      <w:r>
        <w:t>College of Management Science and Engineering</w:t>
      </w:r>
    </w:p>
    <w:p>
      <w:r>
        <w:t>Beijing Information Science and Technology University, Beijing 102200, China</w:t>
      </w:r>
    </w:p>
    <w:p>
      <w:r>
        <w:t>mahaoran0000@foamail.com</w:t>
      </w:r>
    </w:p>
    <w:p>
      <w:r>
        <w:t>Ningning Wang</w:t>
      </w:r>
    </w:p>
    <w:p>
      <w:r>
        <w:t>College of Management Science and Engineering; Institute of Information Systems; ESG Intelligent Application Innovation Research Center</w:t>
      </w:r>
    </w:p>
    <w:p>
      <w:r>
        <w:t>Beijing 102200, China</w:t>
      </w:r>
    </w:p>
    <w:p>
      <w:r>
        <w:t>wangningning@bistu.edu.cn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