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Highlights</w:t>
      </w:r>
    </w:p>
    <w:p>
      <w:r>
        <w:t>Structurally-Calibrated Functional Attribution for Audit Prioritization in Knowledge-Intensive Reasoning</w:t>
      </w:r>
    </w:p>
    <w:p>
      <w:r>
        <w:t>Haoran Ma, Ningning Wang</w:t>
      </w:r>
    </w:p>
    <w:p>
      <w:r>
        <w:t>SC-FMA calibrates coarse utility or proxy fidelity into auditable verification-step weights.</w:t>
      </w:r>
    </w:p>
    <w:p>
      <w:r>
        <w:t>The PRM800K stratified readout gives moderate, preliminary support for PRM800K-like audit prioritization.</w:t>
      </w:r>
    </w:p>
    <w:p>
      <w:r>
        <w:t>QP is strongest only on the controlled synthetic benchmark; Ridge is closest on the PRM800K locked split.</w:t>
      </w:r>
    </w:p>
    <w:p>
      <w:r>
        <w:t>Downstream PRM training, GSM8K/HotpotQA replay, and production KBS deployment remain unvalidated.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