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jc w:val="center"/>
      </w:pPr>
      <w:r>
        <w:rPr>
          <w:b/>
        </w:rPr>
        <w:t>Structurally-Calibrated Functional Attribution for Audit Prioritization in Knowledge-Intensive Reasoning</w:t>
      </w:r>
    </w:p>
    <w:p>
      <w:pPr>
        <w:jc w:val="center"/>
      </w:pPr>
      <w:r>
        <w:t>Haoran Ma; Ningning Wang</w:t>
      </w:r>
    </w:p>
    <w:p>
      <w:pPr>
        <w:pStyle w:val="ListBullet"/>
      </w:pPr>
      <w:r>
        <w:t>SC-FMA calibrates utility into auditable verification-step weights.</w:t>
      </w:r>
    </w:p>
    <w:p>
      <w:pPr>
        <w:pStyle w:val="ListBullet"/>
      </w:pPr>
      <w:r>
        <w:t>Structural stress-test shows redundancy and bottleneck terms matter in their designed regime.</w:t>
      </w:r>
    </w:p>
    <w:p>
      <w:pPr>
        <w:pStyle w:val="ListBullet"/>
      </w:pPr>
      <w:r>
        <w:t>Countries-KG pilot shows typed ontology edges reorder structural-necessity diagnostics.</w:t>
      </w:r>
    </w:p>
    <w:p>
      <w:pPr>
        <w:pStyle w:val="ListBullet"/>
      </w:pPr>
      <w:r>
        <w:t>PRM800K readout gives preliminary audit-prioritization support while Ridge preserves w_struct.</w:t>
      </w:r>
    </w:p>
    <w:p>
      <w:pPr>
        <w:pStyle w:val="ListBullet"/>
      </w:pPr>
      <w:r>
        <w:t>PRM training, replay, and production KBS deployment remain unvalidated.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