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SimSun"/>
          <w:b/>
          <w:color w:val="1F4E79"/>
          <w:sz w:val="44"/>
        </w:rPr>
        <w:t>EpiSOA 项目流程与标注/API 使用说明</w:t>
      </w:r>
    </w:p>
    <w:p>
      <w:pPr>
        <w:jc w:val="center"/>
      </w:pPr>
      <w:r>
        <w:rPr>
          <w:rFonts w:ascii="SimSun" w:hAnsi="SimSun" w:eastAsia="SimSun"/>
          <w:b w:val="0"/>
          <w:color w:val="595959"/>
          <w:sz w:val="22"/>
        </w:rPr>
        <w:t>基于当前仓库 D:\Workplace\EpiSOA 的只读梳理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2F6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项目路径</w:t>
            </w:r>
          </w:p>
        </w:tc>
        <w:tc>
          <w:tcPr>
            <w:tcW w:type="dxa" w:w="69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2F6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D:\Workplace\EpiSOA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整理日期</w:t>
            </w:r>
          </w:p>
        </w:tc>
        <w:tc>
          <w:tcPr>
            <w:tcW w:type="dxa" w:w="69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2026-05-16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核心输出 schema</w:t>
            </w:r>
          </w:p>
        </w:tc>
        <w:tc>
          <w:tcPr>
            <w:tcW w:type="dxa" w:w="69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&lt;Event, Stakeholder, Opinion, Sentiment, Rationale, EventChain, EvidenceIDs&gt;</w:t>
            </w:r>
          </w:p>
        </w:tc>
      </w:tr>
    </w:tbl>
    <w:p>
      <w:pPr>
        <w:spacing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tblHeader w:val="true"/>
        </w:trPr>
        <w:tc>
          <w:tcPr>
            <w:tcW w:type="dxa" w:w="10086"/>
            <w:shd w:fill="EAF3F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摘要：项目采用 event-first 流程，从人工筛选后的公共事件注册表出发，采集公开网页证据，归一化为 evidence pool，再用 LLM 做预标注，经过人工 adjudication 后形成 human gold，最后运行 schema attribution、verifier、主实验和消融评估。当前仓库审计显示，已有“gold”主要仍是 LLM 预标注/auto_reviewer 结果，严格论文级结论前需要真实人工复核。</w:t>
            </w:r>
          </w:p>
        </w:tc>
      </w:tr>
    </w:tbl>
    <w:p>
      <w:pPr>
        <w:pStyle w:val="Heading1"/>
        <w:spacing w:after="120" w:line="276" w:lineRule="auto"/>
      </w:pPr>
      <w:r>
        <w:rPr>
          <w:rFonts w:ascii="SimSun" w:hAnsi="SimSun" w:eastAsia="SimSun"/>
          <w:b w:val="0"/>
          <w:sz w:val="21"/>
        </w:rPr>
        <w:t>1. 整体流程</w:t>
      </w:r>
    </w:p>
    <w:p>
      <w:pPr>
        <w:spacing w:after="120" w:line="276" w:lineRule="auto"/>
      </w:pPr>
      <w:r>
        <w:rPr>
          <w:rFonts w:ascii="SimSun" w:hAnsi="SimSun" w:eastAsia="SimSun"/>
          <w:b w:val="0"/>
          <w:sz w:val="21"/>
        </w:rPr>
        <w:t>项目 README 中定义的正式主线如下：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阶段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入口/文件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作用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事件注册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data/pubevent_soa_lite/events.jsonl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人工筛选后的具体公共事件。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证据采集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scripts/collect_evidence.py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使用 C-FSM/heuristic query planner 调搜索 API 获取公开证据。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证据归一化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scripts/normalize_evidence.py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把 raw posts 变成可追踪 evidence records。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标注表生成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scripts/make_annotation_sheet.py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生成 evidence-level 人工标注 CSV。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LLM 预标注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scripts/run_llm_gold_preannotation.py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生成 silver/pseudo-gold tuples 和 chains。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Silver 导出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scripts/export_silver_benchmark.py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把 LLM 预标注明确复制到 silver_v1 命名空间。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7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 adjudication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scripts/build_human_adjudication_sheet.py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生成 tuple/chain 审阅表，由人工填写决策和修订字段。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8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Human gold 导出/审计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scripts/convert_adjudication_to_human_gold.py / audit_human_gold.py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导出 human_gold_v1 并设置 readiness。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9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实验与评估</w:t>
            </w:r>
          </w:p>
        </w:tc>
        <w:tc>
          <w:tcPr>
            <w:tcW w:type="dxa" w:w="317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scripts/run_paper_experiment.py / run_ablation.py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生成 predictions、metrics、ablation results 等论文输出。</w:t>
            </w:r>
          </w:p>
        </w:tc>
      </w:tr>
    </w:tbl>
    <w:p>
      <w:pPr>
        <w:pStyle w:val="Heading1"/>
        <w:spacing w:after="120" w:line="276" w:lineRule="auto"/>
      </w:pPr>
      <w:r>
        <w:rPr>
          <w:rFonts w:ascii="SimSun" w:hAnsi="SimSun" w:eastAsia="SimSun"/>
          <w:b w:val="0"/>
          <w:sz w:val="21"/>
        </w:rPr>
        <w:t>2. 各阶段输入输出文件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阶段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输入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输出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事件库校验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data/pubevent_soa_lite/events.jsonl; scripts/validate_events.py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通过校验的事件注册表；事件字段包括 event_id、domain、event_type、location、time_window、anchor_urls、source_scope、query_seeds 等。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证据采集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events.jsonl; configs/collector.yaml 或 collector_budget_50.yaml; configs/source_detection.yaml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data/pubevent_soa_lite/raw/raw_posts.jsonl; interim/query_plan.jsonl; interim/coverage.json; repair/debug CSV/JSON。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证据归一化/筛选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raw/raw_posts.jsonl; interim/evidence_candidates*.jsonl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evidence.jsonl; evidence_filtered.jsonl; evidence_v3_repaired_plus_low37.jsonl; duplicate_report.csv。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 evidence 标注表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evidence.jsonl 或 evidence_v3_repaired_plus_low37.jsonl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annotation/annotation_sheet.csv; annotation_guideline.md; annotation_summary.json。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LLM 预标注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events.jsonl; evidence_v3_repaired_plus_low37.jsonl; prompts/gold_*_preannotation.md; configs/paper.yaml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annotation_full_v3_repaired_plus_low37/llm_gold_tuples.jsonl; llm_gold_event_chains.jsonl; llm_preannotation_audit.jsonl; llm_raw_responses/*.txt。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Silver 命名空间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llm_gold_tuples.jsonl; llm_gold_event_chains.jsonl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silver_v1/silver_tuples_v1.jsonl; silver_event_chains_v1.jsonl; silver_manifest_v1.json。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Human adjudication 表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silver_v1/*.jsonl; evidence_v3_repaired_plus_low37.jsonl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human_gold_v1/human_tuple_adjudication_sheet.csv; human_chain_adjudication_sheet.csv。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Human gold 导出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人工填好的 adjudication CSV; events.jsonl; canonical evidence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human_gold_tuples_v1.jsonl; human_gold_event_chains_v1.jsonl; human_gold_manifest_v1.json; rejected_or_uncertain_log.csv。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主实验/消融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events; evidence; gold_tuples; gold_event_chains; configs/paper.yaml 或 ablation.yaml</w:t>
            </w:r>
          </w:p>
        </w:tc>
        <w:tc>
          <w:tcPr>
            <w:tcW w:type="dxa" w:w="35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outputs/runs/{run_id}/predictions.jsonl; candidate_soa_tuples.jsonl; verified_soa_tuples.jsonl; metrics.json; main_results.csv; retrieval_results.csv; verifier_results.csv; ablation_results.csv。</w:t>
            </w:r>
          </w:p>
        </w:tc>
      </w:tr>
    </w:tbl>
    <w:p>
      <w:pPr>
        <w:pStyle w:val="Heading1"/>
        <w:spacing w:after="120" w:line="276" w:lineRule="auto"/>
      </w:pPr>
      <w:r>
        <w:rPr>
          <w:rFonts w:ascii="SimSun" w:hAnsi="SimSun" w:eastAsia="SimSun"/>
          <w:b w:val="0"/>
          <w:sz w:val="21"/>
        </w:rPr>
        <w:t>3. 大模型 API 使用点</w:t>
      </w:r>
    </w:p>
    <w:p>
      <w:pPr>
        <w:spacing w:after="120" w:line="276" w:lineRule="auto"/>
      </w:pPr>
      <w:r>
        <w:rPr>
          <w:rFonts w:ascii="SimSun" w:hAnsi="SimSun" w:eastAsia="SimSun"/>
          <w:b w:val="0"/>
          <w:sz w:val="21"/>
        </w:rPr>
        <w:t>项目使用 OpenAI-compatible chat/completions 客户端，封装在 src/episoa/llm/client.py。搜索 API 与大模型 API 是两类不同接口：证据采集主要依赖搜索 API，下面列的是 LLM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</w:trP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位置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文件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输入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作用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模型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LLM 预标注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scripts/run_llm_gold_preannotation.py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events + evidence + gold_tuple/gold_chain prompt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为每个事件生成候选 SOA tuples 和 event chains，作为 silver/pseudo-gold 供人工审阅。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默认 configs/paper.yaml: deepseek-v4-flash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Schema attribution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src/episoa/attribution/schema_attributor.py; scripts/run_schema_attribution.py; pipeline.py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events + evidence + retrieved chains + graph nodes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主实验抽取预测的 stakeholder-opinion-sentiment-rationale tuples。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默认 deepseek-v4-flash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Faithfulness verifier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src/episoa/verifier/faithfulness_verifier.py; src/episoa/verification/faithfulness_verifier.py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candidate tuples + cited evidence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判断候选 tuple 是否被证据支持，修正 support_label/verified 状态。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默认 deepseek-v4-flash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Annotation expansion（可选）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scripts/run_annotation_expansion.py --use-llm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扩展计划 + evidence + prompts/gold_*_expansion.md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当 tuple/chain 数量不足时，用 LLM 生成增量候选；失败会回退到 rule-based。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随 --config，通常 deepseek-v4-flash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Benchmark evaluation（可选）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scripts/run_benchmark_eval.py; src/episoa/evaluation/benchmark_runner.py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benchmark task JSONL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直接评估模型完成 tuple identification、evidence support、chain construction。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默认 deepseek-v4-flash，可 --model-name 覆盖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LLM judge（可选）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src/episoa/evaluation/benchmark_metrics.py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gold tuples + pred tuples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语义等价匹配，用于补充严格字符/软匹配指标。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传入的 judge model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模型能力探针（诊断）</w:t>
            </w:r>
          </w:p>
        </w:tc>
        <w:tc>
          <w:tcPr>
            <w:tcW w:type="dxa" w:w="23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scripts/run_model_capability_probe.py</w:t>
            </w:r>
          </w:p>
        </w:tc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oracle evidence IDs + selected events</w:t>
            </w:r>
          </w:p>
        </w:tc>
        <w:tc>
          <w:tcPr>
            <w:tcW w:type="dxa" w:w="24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比较当前模型和更强模型在 oracle evidence 下的抽取能力。</w:t>
            </w:r>
          </w:p>
        </w:tc>
        <w:tc>
          <w:tcPr>
            <w:tcW w:type="dxa" w:w="119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deepseek-v4-flash 与 kimi-k2.6</w:t>
            </w:r>
          </w:p>
        </w:tc>
      </w:tr>
    </w:tbl>
    <w:p>
      <w:pPr>
        <w:pStyle w:val="Heading2"/>
        <w:spacing w:after="120" w:line="276" w:lineRule="auto"/>
      </w:pPr>
      <w:r>
        <w:rPr>
          <w:rFonts w:ascii="SimSun" w:hAnsi="SimSun" w:eastAsia="SimSun"/>
          <w:b w:val="0"/>
          <w:sz w:val="21"/>
        </w:rPr>
        <w:t>3.1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配置文件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模型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Key 来源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Base URL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备注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configs/paper.yaml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deepseek-v4-flash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OPENCODE_API_KEY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https://opencode.ai/zen/go/v1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主实验默认配置。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configs/ablation.yaml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deepseek-v4-flash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OPENCODE_API_KEY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https://opencode.ai/zen/go/v1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消融默认配置。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configs/opencode.yaml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qwen3.6-plus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OPENCODE_API_KEY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https://opencode.ai/zen/go/v1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备选 OpenCode benchmark 配置。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configs/opencode_kimi.yaml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kimi-k2.6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OPENCODE_API_KEY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https://opencode.ai/zen/go/v1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强模型/对比配置。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configs/default.yaml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mock-llm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OPENAI_API_KEY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OPENAI_BASE_URL</w:t>
            </w:r>
          </w:p>
        </w:tc>
        <w:tc>
          <w:tcPr>
            <w:tcW w:type="dxa" w:w="14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默认/测试用 mock 配置。</w:t>
            </w:r>
          </w:p>
        </w:tc>
      </w:tr>
    </w:tbl>
    <w:p>
      <w:pPr>
        <w:pStyle w:val="Heading1"/>
        <w:spacing w:after="120" w:line="276" w:lineRule="auto"/>
      </w:pPr>
      <w:r>
        <w:rPr>
          <w:rFonts w:ascii="SimSun" w:hAnsi="SimSun" w:eastAsia="SimSun"/>
          <w:b w:val="0"/>
          <w:sz w:val="21"/>
        </w:rPr>
        <w:t>4. 人工标注位置与作用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人工环节</w:t>
            </w:r>
          </w:p>
        </w:tc>
        <w:tc>
          <w:tcPr>
            <w:tcW w:type="dxa" w:w="26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标注文件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需要填写/确认内容</w:t>
            </w:r>
          </w:p>
        </w:tc>
        <w:tc>
          <w:tcPr>
            <w:tcW w:type="dxa" w:w="204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作用</w:t>
            </w:r>
          </w:p>
        </w:tc>
      </w:tr>
      <w:t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事件人工筛选/定义</w:t>
            </w:r>
          </w:p>
        </w:tc>
        <w:tc>
          <w:tcPr>
            <w:tcW w:type="dxa" w:w="26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data/pubevent_soa_lite/events.jsonl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人工确定进入项目的具体公共事件，填写事件地点、时间窗口、触发因素、anchor URLs、source_scope、query_seeds、stakeholder_hints 等。</w:t>
            </w:r>
          </w:p>
        </w:tc>
        <w:tc>
          <w:tcPr>
            <w:tcW w:type="dxa" w:w="204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保证采集与评估从可验证的事件实例出发。</w:t>
            </w:r>
          </w:p>
        </w:tc>
      </w:tr>
      <w:t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Evidence-level 标注</w:t>
            </w:r>
          </w:p>
        </w:tc>
        <w:tc>
          <w:tcPr>
            <w:tcW w:type="dxa" w:w="26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data/pubevent_soa_lite/annotation/annotation_sheet.csv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填写 is_relevant、annotated_stakeholder、annotated_opinion、annotated_sentiment、annotated_rationale、support_label、event_chain_step/order、notes。</w:t>
            </w:r>
          </w:p>
        </w:tc>
        <w:tc>
          <w:tcPr>
            <w:tcW w:type="dxa" w:w="204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从证据行层面筛出可用 stakeholder-opinion 支撑信息。</w:t>
            </w:r>
          </w:p>
        </w:tc>
      </w:tr>
      <w:t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Tuple adjudication</w:t>
            </w:r>
          </w:p>
        </w:tc>
        <w:tc>
          <w:tcPr>
            <w:tcW w:type="dxa" w:w="26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data/pubevent_soa_lite/human_gold_v1/human_tuple_adjudication_sheet.csv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填写 review_decision、revised_stakeholder、revised_opinion、revised_sentiment、revised_rationale、revised_evidence_ids、reviewer_note、reviewer_id、adjudication_status。</w:t>
            </w:r>
          </w:p>
        </w:tc>
        <w:tc>
          <w:tcPr>
            <w:tcW w:type="dxa" w:w="204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把 LLM silver tuple 判定为 accept/revise/drop/add_missing/uncertain，只有合格记录进入 human_gold。</w:t>
            </w:r>
          </w:p>
        </w:tc>
      </w:tr>
      <w:tr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Chain adjudication</w:t>
            </w:r>
          </w:p>
        </w:tc>
        <w:tc>
          <w:tcPr>
            <w:tcW w:type="dxa" w:w="26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data/pubevent_soa_lite/human_gold_v1/human_chain_adjudication_sheet.csv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填写 review_decision、revised_event_chain、revised_evidence_ids、reviewer_note、reviewer_id、adjudication_status。</w:t>
            </w:r>
          </w:p>
        </w:tc>
        <w:tc>
          <w:tcPr>
            <w:tcW w:type="dxa" w:w="204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确认事件链是否证据支撑、顺序是否合理，并导出 human_gold_event_chains。</w:t>
            </w:r>
          </w:p>
        </w:tc>
      </w:tr>
    </w:tbl>
    <w:p>
      <w:pPr>
        <w:pStyle w:val="Heading2"/>
        <w:spacing w:after="120" w:line="276" w:lineRule="auto"/>
      </w:pPr>
      <w:r>
        <w:rPr>
          <w:rFonts w:ascii="SimSun" w:hAnsi="SimSun" w:eastAsia="SimSun"/>
          <w:b w:val="0"/>
          <w:sz w:val="21"/>
        </w:rPr>
        <w:t>4.1 审阅决策含义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决策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/>
                <w:color w:val="1F4E79"/>
                <w:sz w:val="18"/>
              </w:rPr>
              <w:t>含义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accept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候选记录正确，可原样进入 human_gold。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revise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候选基本可用，但需要使用 revised_* 字段修正后进入 human_gold。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drop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候选错误、无支撑、重复或过泛，不进入 human_gold。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add_missing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人工补充 LLM 遗漏的 tuple 或 chain，必须有非空 evidence_ids。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uncertain</w:t>
            </w:r>
          </w:p>
        </w:tc>
        <w:tc>
          <w:tcPr>
            <w:tcW w:type="dxa" w:w="703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40" w:line="259" w:lineRule="auto"/>
            </w:pPr>
            <w:r>
              <w:rPr>
                <w:rFonts w:ascii="SimSun" w:hAnsi="SimSun" w:eastAsia="SimSun"/>
                <w:b w:val="0"/>
                <w:sz w:val="17"/>
              </w:rPr>
              <w:t>无法确认，默认预审状态，不进入 human_gold。</w:t>
            </w:r>
          </w:p>
        </w:tc>
      </w:tr>
    </w:tbl>
    <w:p>
      <w:pPr>
        <w:pStyle w:val="Heading1"/>
        <w:spacing w:after="120" w:line="276" w:lineRule="auto"/>
      </w:pPr>
      <w:r>
        <w:rPr>
          <w:rFonts w:ascii="SimSun" w:hAnsi="SimSun" w:eastAsia="SimSun"/>
          <w:b w:val="0"/>
          <w:sz w:val="21"/>
        </w:rPr>
        <w:t>5. 当前状态与注意事项</w:t>
      </w:r>
    </w:p>
    <w:p>
      <w:pPr>
        <w:pStyle w:val="ListBullet"/>
        <w:spacing w:after="80"/>
      </w:pPr>
      <w:r>
        <w:rPr>
          <w:rFonts w:ascii="SimSun" w:hAnsi="SimSun" w:eastAsia="SimSun"/>
          <w:b w:val="0"/>
          <w:sz w:val="21"/>
        </w:rPr>
        <w:t>当前审计报告显示：主实验配置读取的 llm_gold_tuples.jsonl 属于 LLM preannotation，严格意义上应称为 silver/pseudo-gold。</w:t>
      </w:r>
    </w:p>
    <w:p>
      <w:pPr>
        <w:pStyle w:val="ListBullet"/>
        <w:spacing w:after="80"/>
      </w:pPr>
      <w:r>
        <w:rPr>
          <w:rFonts w:ascii="SimSun" w:hAnsi="SimSun" w:eastAsia="SimSun"/>
          <w:b w:val="0"/>
          <w:sz w:val="21"/>
        </w:rPr>
        <w:t>已有 human_reviewed_gold 导出中 reviewer/annotator 分布主要为 auto_reviewer，不能等价于独立人工 gold。</w:t>
      </w:r>
    </w:p>
    <w:p>
      <w:pPr>
        <w:pStyle w:val="ListBullet"/>
        <w:spacing w:after="80"/>
      </w:pPr>
      <w:r>
        <w:rPr>
          <w:rFonts w:ascii="SimSun" w:hAnsi="SimSun" w:eastAsia="SimSun"/>
          <w:b w:val="0"/>
          <w:sz w:val="21"/>
        </w:rPr>
        <w:t>若用于论文级 benchmark，需要至少一轮真实人工 review；更稳妥做法是双人标注 + adjudication + IAA。</w:t>
      </w:r>
    </w:p>
    <w:p>
      <w:pPr>
        <w:pStyle w:val="ListBullet"/>
        <w:spacing w:after="80"/>
      </w:pPr>
      <w:r>
        <w:rPr>
          <w:rFonts w:ascii="SimSun" w:hAnsi="SimSun" w:eastAsia="SimSun"/>
          <w:b w:val="0"/>
          <w:sz w:val="21"/>
        </w:rPr>
        <w:t>证据采集阶段使用搜索 API，不是 LLM API；大模型主要用于抽取、预标注、验证和诊断评估。</w:t>
      </w:r>
    </w:p>
    <w:sectPr w:rsidR="00FC693F" w:rsidRPr="0006063C" w:rsidSect="00034616">
      <w:footerReference w:type="default" r:id="rId9"/>
      <w:pgSz w:w="12240" w:h="15840"/>
      <w:pgMar w:top="1077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SimSun"/>
        <w:b w:val="0"/>
        <w:color w:val="7F7F7F"/>
        <w:sz w:val="16"/>
      </w:rPr>
      <w:t>EpiSOA 项目流程与标注/API 使用说明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Sun" w:hAnsi="SimSun" w:eastAsia="SimSu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Sun" w:hAnsi="SimSun" w:eastAsia="SimSun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imSun" w:hAnsi="SimSun" w:eastAsia="SimSun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