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F28E6">
      <w:pPr>
        <w:pStyle w:val="3"/>
        <w:rPr>
          <w:color w:val="auto"/>
        </w:rPr>
      </w:pPr>
      <w:r>
        <w:rPr>
          <w:rFonts w:ascii="Times New Roman" w:hAnsi="Times New Roman"/>
          <w:color w:val="auto"/>
        </w:rPr>
        <w:t>Cover Letter</w:t>
      </w:r>
      <w:bookmarkStart w:id="0" w:name="_GoBack"/>
      <w:bookmarkEnd w:id="0"/>
    </w:p>
    <w:p w14:paraId="45956352">
      <w:pPr>
        <w:spacing w:after="120" w:line="276" w:lineRule="auto"/>
        <w:rPr>
          <w:color w:val="auto"/>
        </w:rPr>
      </w:pPr>
      <w:r>
        <w:rPr>
          <w:rFonts w:ascii="Times New Roman" w:hAnsi="Times New Roman"/>
          <w:color w:val="auto"/>
          <w:sz w:val="24"/>
        </w:rPr>
        <w:t>Dear Editor,</w:t>
      </w:r>
    </w:p>
    <w:p w14:paraId="601A8A1F">
      <w:pPr>
        <w:spacing w:after="120" w:line="276" w:lineRule="auto"/>
        <w:rPr>
          <w:color w:val="auto"/>
        </w:rPr>
      </w:pPr>
      <w:r>
        <w:rPr>
          <w:rFonts w:ascii="Times New Roman" w:hAnsi="Times New Roman" w:eastAsia="Times New Roman"/>
          <w:color w:val="auto"/>
          <w:sz w:val="24"/>
        </w:rPr>
        <w:t>We are pleased to submit the manuscript entitled "Digital-era urban spatial coordination and carbon emissions in China: Nonlinear evidence from 284 cities" for consideration in Sustainable Cities and Society. The manuscript examines 284 Chinese prefecture-level and above cities from 2006 to 2024 and incorporates digital space into the production-living-ecological urban functional framework. The study identifies an inverted U-shaped association between multidimensional spatial coordination and log-transformed carbon emissions, with restructuring pathways and digital economy development shaping the observed relationship.</w:t>
      </w:r>
    </w:p>
    <w:p w14:paraId="62723A4D">
      <w:pPr>
        <w:spacing w:after="120" w:line="276" w:lineRule="auto"/>
        <w:rPr>
          <w:color w:val="auto"/>
        </w:rPr>
      </w:pPr>
      <w:r>
        <w:rPr>
          <w:rFonts w:ascii="Times New Roman" w:hAnsi="Times New Roman"/>
          <w:color w:val="auto"/>
          <w:sz w:val="24"/>
        </w:rPr>
        <w:t>The submission is intended to contribute to debates on sustainable urban transition, digital governance, and low-carbon restructuring. The authors confirm that the manuscript is original, is not under consideration elsewhere, and that all author declarations in the title-page file are complete and accurate.</w:t>
      </w:r>
    </w:p>
    <w:p w14:paraId="366EF184">
      <w:pPr>
        <w:spacing w:after="120" w:line="276" w:lineRule="auto"/>
        <w:rPr>
          <w:color w:val="auto"/>
        </w:rPr>
      </w:pPr>
      <w:r>
        <w:rPr>
          <w:rFonts w:ascii="Times New Roman" w:hAnsi="Times New Roman"/>
          <w:color w:val="auto"/>
          <w:sz w:val="24"/>
        </w:rPr>
        <w:t>Sincerely,</w:t>
      </w:r>
    </w:p>
    <w:p w14:paraId="69EBF054">
      <w:pPr>
        <w:spacing w:after="120" w:line="276" w:lineRule="auto"/>
        <w:rPr>
          <w:color w:val="auto"/>
        </w:rPr>
      </w:pPr>
      <w:r>
        <w:rPr>
          <w:rFonts w:ascii="Times New Roman" w:hAnsi="Times New Roman"/>
          <w:color w:val="auto"/>
          <w:sz w:val="24"/>
        </w:rPr>
        <w:t>Ningning Wang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C2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859</Characters>
  <Lines>0</Lines>
  <Paragraphs>0</Paragraphs>
  <TotalTime>0</TotalTime>
  <ScaleCrop>false</ScaleCrop>
  <LinksUpToDate>false</LinksUpToDate>
  <CharactersWithSpaces>981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Anonymous</dc:creator>
  <cp:lastModifiedBy>Ma</cp:lastModifiedBy>
  <dcterms:modified xsi:type="dcterms:W3CDTF">2026-05-24T15:22:04Z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eyJoZGlkIjoiY2I4MTYwNjFlODA2MzBlMWZhZGRjMTcxMzU0Y2ZhMjkiLCJ1c2VySWQiOiIyMzU5ODcyOTEifQ==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0795EF46C0294A848DDC14EEA7D1FF6E_12</vt:lpwstr>
  </property>
</Properties>
</file>