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E1093">
      <w:pPr>
        <w:pStyle w:val="3"/>
        <w:rPr>
          <w:color w:val="auto"/>
        </w:rPr>
      </w:pPr>
      <w:r>
        <w:rPr>
          <w:rFonts w:ascii="Times New Roman" w:hAnsi="Times New Roman"/>
          <w:color w:val="auto"/>
        </w:rPr>
        <w:t>Highlights</w:t>
      </w:r>
      <w:bookmarkStart w:id="0" w:name="_GoBack"/>
      <w:bookmarkEnd w:id="0"/>
    </w:p>
    <w:p w14:paraId="2787321A">
      <w:pPr>
        <w:pStyle w:val="16"/>
        <w:rPr>
          <w:color w:val="auto"/>
        </w:rPr>
      </w:pPr>
      <w:r>
        <w:rPr>
          <w:color w:val="auto"/>
        </w:rPr>
        <w:t>Urban spatial coordination has an inverted-U emission association.</w:t>
      </w:r>
    </w:p>
    <w:p w14:paraId="64544960">
      <w:pPr>
        <w:pStyle w:val="16"/>
        <w:rPr>
          <w:color w:val="auto"/>
        </w:rPr>
      </w:pPr>
      <w:r>
        <w:rPr>
          <w:color w:val="auto"/>
        </w:rPr>
        <w:t>Most sample city-year observations remain below the 0.542 estimated turning point.</w:t>
      </w:r>
    </w:p>
    <w:p w14:paraId="1B299D21">
      <w:pPr>
        <w:pStyle w:val="16"/>
        <w:rPr>
          <w:color w:val="auto"/>
        </w:rPr>
      </w:pPr>
      <w:r>
        <w:rPr>
          <w:color w:val="auto"/>
        </w:rPr>
        <w:t>Digital economy development flattens the nonlinear emission curve.</w:t>
      </w:r>
    </w:p>
    <w:p w14:paraId="2190E888">
      <w:pPr>
        <w:pStyle w:val="16"/>
        <w:rPr>
          <w:color w:val="auto"/>
        </w:rPr>
      </w:pPr>
      <w:r>
        <w:rPr>
          <w:color w:val="auto"/>
        </w:rPr>
        <w:t>Upgrading and green innovation are stage-dependent pathways.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B5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254</Characters>
  <Lines>0</Lines>
  <Paragraphs>0</Paragraphs>
  <TotalTime>0</TotalTime>
  <ScaleCrop>false</ScaleCrop>
  <LinksUpToDate>false</LinksUpToDate>
  <CharactersWithSpaces>284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Anonymous</dc:creator>
  <cp:lastModifiedBy>Ma</cp:lastModifiedBy>
  <dcterms:modified xsi:type="dcterms:W3CDTF">2026-05-24T15:35:45Z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B051405439FD4FE18541F76805D6459C_12</vt:lpwstr>
  </property>
</Properties>
</file>