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Urban multidimensional spatial coupling coordination and carbon emissions in China: Restructuring pathways and governance tradeoffs</w:t>
      </w:r>
    </w:p>
    <w:p>
      <w:r>
        <w:rPr>
          <w:rFonts w:ascii="Times New Roman" w:hAnsi="Times New Roman"/>
          <w:b/>
          <w:sz w:val="28"/>
        </w:rPr>
        <w:t>Abstract</w:t>
      </w:r>
    </w:p>
    <w:p>
      <w:pPr>
        <w:ind w:firstLine="425"/>
      </w:pPr>
      <w:r>
        <w:rPr>
          <w:rFonts w:ascii="Times New Roman" w:hAnsi="Times New Roman"/>
          <w:sz w:val="24"/>
        </w:rPr>
        <w:t>Urban governance increasingly operates through digital networks as well as physical infrastructure, yet the environmental returns to coordination depend on governance sequencing rather than on the level of coordination alone. This study integrates digital space as a fourth functional dimension alongside production, living, and ecological functions and examines how multidimensional spatial coordination relates to carbon emissions across 284 Chinese cities from 2006 to 2024. The results reveal a coordination paradox: spatial coupling can reduce information frictions and improve allocation efficiency, but early-stage coordination may simultaneously intensify infrastructure expansion, industrial reorganization, and energy demand. Most sample cities remain below the estimated turning point, indicating that expansion-oriented integration still dominates the environmental trajectory. Evidence consistent with stage-dependent restructuring suggests that industrial upgrading and green innovation function as transition pathways rather than as immediate emission-reduction levers. Digital economy development attenuates the marginal emission burden of coordination, but this attenuation depends on governance capacity. The central finding is that digitally enabled coordination supports sustainable urban transition only when governance shifts from expansion-oriented integration toward efficiency-oriented operation.</w:t>
      </w:r>
    </w:p>
    <w:p>
      <w:r>
        <w:rPr>
          <w:rFonts w:ascii="Times New Roman" w:hAnsi="Times New Roman"/>
          <w:i/>
          <w:sz w:val="22"/>
        </w:rPr>
        <w:t>Keywords: Urban multidimensional coordination; Digital space; Carbon emissions; Industrial restructuring; Governance sequencing; Data-enabled governance</w:t>
      </w:r>
    </w:p>
    <w:p>
      <w:r>
        <w:rPr>
          <w:rFonts w:ascii="Times New Roman" w:hAnsi="Times New Roman"/>
          <w:b/>
          <w:sz w:val="28"/>
        </w:rPr>
        <w:t>1. Introduction</w:t>
      </w:r>
    </w:p>
    <w:p>
      <w:pPr>
        <w:ind w:firstLine="425"/>
      </w:pPr>
      <w:r>
        <w:rPr>
          <w:rFonts w:ascii="Times New Roman" w:hAnsi="Times New Roman"/>
          <w:sz w:val="24"/>
        </w:rPr>
        <w:t>Cities concentrate population, infrastructure, production, energy use, and emissions, making them the critical arena in which carbon mitigation and sustainable transition are ultimately realized (Seto et al., 2012; Dhakal, 2009; Creutzig et al., 2016). In China, rapid urbanization has unfolded alongside infrastructure expansion, industrial restructuring, and an accelerating digital transition. These forces jointly reshape the spatial organization of cities while intensifying pressures on resources and the environment (Fang et al., 2015; Yang et al., 2022). Against the dual-carbon agenda, understanding whether and how urban spatial reorganization can curb emissions has therefore become a central question for both urban governance and sustainability research.</w:t>
      </w:r>
    </w:p>
    <w:p>
      <w:pPr>
        <w:ind w:firstLine="425"/>
      </w:pPr>
      <w:r>
        <w:rPr>
          <w:rFonts w:ascii="Times New Roman" w:hAnsi="Times New Roman"/>
          <w:sz w:val="24"/>
        </w:rPr>
        <w:t>Existing research has mainly examined carbon emissions from the perspectives of urban scale, density, compactness, land expansion, and spatial structure. A large body of work shows that urban form influences commuting demand, infrastructure efficiency, and energy consumption, but the direction and magnitude of these relationships vary across contexts (Gaigné et al., 2012; Lee and Lee, 2014; Kaza, 2020). Evidence from China and other countries further suggests that urban expansion, land-use restructuring, and agglomeration can have opposing environmental effects. They may increase emissions through construction booms and transport demand, or reduce them through density economies and efficiency gains (Castells-Quintana et al., 2021; Hong et al., 2022; Shi et al., 2023; Wang et al., 2024; Zhang et al., 2024).</w:t>
      </w:r>
    </w:p>
    <w:p>
      <w:pPr>
        <w:ind w:firstLine="425"/>
      </w:pPr>
      <w:r>
        <w:rPr>
          <w:rFonts w:ascii="Times New Roman" w:hAnsi="Times New Roman"/>
          <w:sz w:val="24"/>
        </w:rPr>
        <w:t>At the same time, digitalization is reshaping the spatial logic of urban development. Digital space is spatial not because it replaces physical geography, but because it reorganizes accessibility, coordination costs, interaction flows, functional connectivity, and governance responsiveness across urban systems. Drawing on relational conceptions of space, we argue that digital infrastructure and data networks reconfigure how production, living, ecological, and governance functions interact across physical space—reducing spatial frictions, enabling networked urbanism, and creating new forms of digitally mediated spatial coordination (Balogun et al., 2020; Anon Higon et al., 2017). Digital space thus exhibits spatial embeddedness: it is not an external technological condition layered onto cities but a constitutive dimension that structures flows of information, services, capital, logistics, and governance across places. Yet digitalization also brings electricity use, equipment replacement, internet-related energy demand, and rebound effects, so its environmental consequences remain contested (Lange et al., 2020; Obringer et al., 2021). Treating digital space as a fourth functional dimension clarifies why coordination through digital governance can either amplify or attenuate emission trajectories—the outcome depends on whether digital capability serves expansion-oriented integration or efficiency-oriented governance.</w:t>
      </w:r>
    </w:p>
    <w:p>
      <w:pPr>
        <w:ind w:firstLine="425"/>
      </w:pPr>
      <w:r>
        <w:rPr>
          <w:rFonts w:ascii="Times New Roman" w:hAnsi="Times New Roman"/>
          <w:sz w:val="24"/>
        </w:rPr>
        <w:t>This creates a central tension for sustainable-city research. Spatial coordination can reduce coordination frictions and improve resource allocation. Yet where infrastructure demand is expanding, energy substitution is weak, and governance capacity is limited, the same coordination mechanisms can intensify infrastructure expansion, functional reorganization, industrial agglomeration, and energy demand. This coordination paradox—integration simultaneously reducing frictions and intensifying demand—is especially relevant in rapidly transforming cities. It reflects a governance sequencing problem: whether cities coordinate through expansion-oriented integration or through efficiency-oriented governance. The environmental outcome depends not on coordination itself but on which governance mode coordination serves.</w:t>
      </w:r>
    </w:p>
    <w:p>
      <w:pPr>
        <w:ind w:firstLine="425"/>
      </w:pPr>
      <w:r>
        <w:rPr>
          <w:rFonts w:ascii="Times New Roman" w:hAnsi="Times New Roman"/>
          <w:sz w:val="24"/>
        </w:rPr>
        <w:t>Despite these advances, three gaps remain. First, most studies still treat urban space as a predominantly physical system and rarely incorporate digital space into the analytical framework of production, living, and ecological functions. Second, the literature has attended more to isolated dimensions of urban form than to coupling coordination among multiple functional spaces. Recent functional-zone evidence nonetheless shows that intra-urban functional heterogeneity matters for emission outcomes (Tan et al., 2024). Third, the restructuring pathways connecting multidimensional coordination and emissions remain insufficiently theorized, particularly when industrial upgrading and green innovation create short-run transition costs.</w:t>
      </w:r>
    </w:p>
    <w:p>
      <w:pPr>
        <w:ind w:firstLine="425"/>
      </w:pPr>
      <w:r>
        <w:rPr>
          <w:rFonts w:ascii="Times New Roman" w:hAnsi="Times New Roman"/>
          <w:sz w:val="24"/>
        </w:rPr>
        <w:t>Accordingly, this study investigates how urban multidimensional spatial coupling coordination relates to carbon emissions in China under digital transformation. It extends the conventional production-living-ecological framework by treating digital space as a fourth functional dimension and constructs a spatial coupling coordination degree (SCCD) index covering production, living, ecological, and digital functions. The main empirical sample covers 284 prefecture-level and above cities during 2006–2024.</w:t>
      </w:r>
    </w:p>
    <w:p>
      <w:pPr>
        <w:ind w:firstLine="425"/>
      </w:pPr>
      <w:r>
        <w:rPr>
          <w:rFonts w:ascii="Times New Roman" w:hAnsi="Times New Roman"/>
          <w:sz w:val="24"/>
        </w:rPr>
        <w:t>The remainder of this paper is organized as follows. Section 2 reviews the relevant literature. Section 3 develops the theoretical logic and hypotheses. Section 4 presents the data, variables, and model specification. Section 5 reports the empirical results. Section 6 concludes and discusses policy implications.</w:t>
      </w:r>
    </w:p>
    <w:p>
      <w:r>
        <w:rPr>
          <w:rFonts w:ascii="Times New Roman" w:hAnsi="Times New Roman"/>
          <w:b/>
          <w:sz w:val="28"/>
        </w:rPr>
        <w:t>2. Literature review</w:t>
      </w:r>
    </w:p>
    <w:p>
      <w:r>
        <w:rPr>
          <w:rFonts w:ascii="Times New Roman" w:hAnsi="Times New Roman"/>
          <w:b/>
          <w:sz w:val="26"/>
        </w:rPr>
        <w:t>2.1 Urban spatial restructuring and carbon emissions</w:t>
      </w:r>
    </w:p>
    <w:p>
      <w:pPr>
        <w:ind w:firstLine="425"/>
      </w:pPr>
      <w:r>
        <w:rPr>
          <w:rFonts w:ascii="Times New Roman" w:hAnsi="Times New Roman"/>
          <w:sz w:val="24"/>
        </w:rPr>
        <w:t>Urban spatial restructuring is widely regarded as a key determinant of urban environmental performance. Existing studies show that urban expansion, land-use change, infrastructure investment, and the reorganization of production and residential activities reshape energy demand and carbon emissions (Seto et al., 2012; Fang et al., 2015; Castells-Quintana et al., 2021; Hong et al., 2022). One strand argues that compact development can lower per-capita emissions through density economies, shorter travel distances, and more efficient infrastructure (Gaigné et al., 2012; Lee and Lee, 2014; Kaza, 2020). Another emphasizes that rapid spatial expansion and functional reconfiguration often entail construction booms, additional transport demand, and higher energy use, especially in developing and industrializing contexts (Dhakal, 2009; Castells-Quintana et al., 2021). Recent functional-zone evidence further shows that the carbon implications of urban form depend on the spatial heterogeneity of land-use and transport functions within cities (Tan et al., 2024).</w:t>
      </w:r>
    </w:p>
    <w:p>
      <w:pPr>
        <w:ind w:firstLine="425"/>
      </w:pPr>
      <w:r>
        <w:rPr>
          <w:rFonts w:ascii="Times New Roman" w:hAnsi="Times New Roman"/>
          <w:sz w:val="24"/>
        </w:rPr>
        <w:t>Recent research has extended this debate to urban spatial form, especially monocentric and polycentric structures. Polycentric development may relieve congestion and reduce commuting-related emissions, but its environmental implications depend on population size, jobs-housing balance, inter-center connectivity, and regional development stage (Jung et al., 2022; Shi et al., 2023; Wang et al., 2024; Zhang et al., 2024). Overall, the literature provides important insights into the environmental implications of urban morphology, yet it still focuses mainly on physical form rather than the coordinated operation of multiple urban functional dimensions.</w:t>
      </w:r>
    </w:p>
    <w:p>
      <w:r>
        <w:rPr>
          <w:rFonts w:ascii="Times New Roman" w:hAnsi="Times New Roman"/>
          <w:b/>
          <w:sz w:val="26"/>
        </w:rPr>
        <w:t>2.2 Digital space and multidimensional spatial coupling coordination</w:t>
      </w:r>
    </w:p>
    <w:p>
      <w:pPr>
        <w:ind w:firstLine="425"/>
      </w:pPr>
      <w:r>
        <w:rPr>
          <w:rFonts w:ascii="Times New Roman" w:hAnsi="Times New Roman"/>
          <w:sz w:val="24"/>
        </w:rPr>
        <w:t>Digital technologies are reshaping the logic of urban development. Existing studies show that digitalization can support climate adaptation, resource optimization, and smarter urban governance (Balogun et al., 2020). Research on ICTs further suggests that digital tools can improve coordination efficiency and governance capacity, while also increasing electricity consumption, equipment demand, and rebound effects (Anon Higon et al., 2017; Lange et al., 2020; Obringer et al., 2021). For China, recent evidence indicates that digital city construction and the digital economy can affect emission performance through efficiency gains, industrial upgrading, technological innovation, and spatial spillovers (Yang et al., 2022; Zhang et al., 2022; Cheng et al., 2023; Hou et al., 2024; Zhu et al., 2024).</w:t>
      </w:r>
    </w:p>
    <w:p>
      <w:pPr>
        <w:ind w:firstLine="425"/>
      </w:pPr>
      <w:r>
        <w:rPr>
          <w:rFonts w:ascii="Times New Roman" w:hAnsi="Times New Roman"/>
          <w:sz w:val="24"/>
        </w:rPr>
        <w:t>However, digital factors are usually modeled as external drivers rather than as an intrinsic spatial dimension. This is increasingly restrictive. Digital infrastructure, platform connectivity, data interaction, and intelligent governance shape where production is organized, how residents access services, how ecological monitoring is performed, and how public decisions are coordinated. Drawing on relational space theory, we argue that digital space is spatial because it restructures the relational geometry of urban systems: it reduces spatial frictions, reconfigures interaction flows, and creates networked urbanism in which functional connectivity is no longer fully bound by physical distance. Digital space exhibits spatial embeddedness because it is woven into the organization of production, living, and ecological functions rather than operating as a separate technological layer. It is not simply a technology variable inserted into a spatial framework; it is a constitutive dimension of contemporary urban spatial organization that enables digitally mediated spatial coordination across functional subsystems.</w:t>
      </w:r>
    </w:p>
    <w:p>
      <w:r>
        <w:rPr>
          <w:rFonts w:ascii="Times New Roman" w:hAnsi="Times New Roman"/>
          <w:b/>
          <w:sz w:val="26"/>
        </w:rPr>
        <w:t>2.3 Research gaps and analytical positioning</w:t>
      </w:r>
    </w:p>
    <w:p>
      <w:pPr>
        <w:ind w:firstLine="425"/>
      </w:pPr>
      <w:r>
        <w:rPr>
          <w:rFonts w:ascii="Times New Roman" w:hAnsi="Times New Roman"/>
          <w:sz w:val="24"/>
        </w:rPr>
        <w:t>This study makes three related contributions. Conceptually, it endogenizes digital space within the production-living-ecological urban functional framework, rather than treating digitalization only as an external policy shock or technological driver. Digital infrastructure, platform connectivity, data interaction, and intelligent governance are spatially consequential because they organize how urban functions connect, circulate, and respond. This framing strengthens the conceptual legitimacy of digital space as a functional urban dimension.</w:t>
      </w:r>
    </w:p>
    <w:p>
      <w:pPr>
        <w:ind w:firstLine="425"/>
      </w:pPr>
      <w:r>
        <w:rPr>
          <w:rFonts w:ascii="Times New Roman" w:hAnsi="Times New Roman"/>
          <w:sz w:val="24"/>
        </w:rPr>
        <w:t>Empirically, the study provides city-level evidence on the nonlinear relationship between multidimensional coordination and emissions using a unified 2006–2024 panel of 284 Chinese cities, with an inverted-U endpoint test and turning-point calculation. It also separates restructuring-equation evidence from moderation evidence. Industrial upgrading and green innovation are interpreted as stage-dependent pathways, digital economy development is the supported boundary condition, and polycentricity is retained only as a supplementary interaction check.</w:t>
      </w:r>
    </w:p>
    <w:p>
      <w:r>
        <w:rPr>
          <w:rFonts w:ascii="Times New Roman" w:hAnsi="Times New Roman"/>
          <w:b/>
          <w:sz w:val="28"/>
        </w:rPr>
        <w:t>3. Theoretical logic and hypotheses</w:t>
      </w:r>
    </w:p>
    <w:p>
      <w:pPr>
        <w:jc w:val="center"/>
      </w:pPr>
      <w:r>
        <w:rPr>
          <w:rFonts w:ascii="Times New Roman" w:hAnsi="Times New Roman"/>
          <w:b/>
          <w:sz w:val="22"/>
        </w:rPr>
        <w:t>Fig. 1 illustrates the conceptual framework. The left side depicts expansion-oriented coordination, characterized by infrastructure expansion, industrial concentration, and rising energy demand. The right side depicts efficiency-oriented coordination, characterized by improved allocation efficiency, digital governance, reduced coordination frictions, and a lower marginal emission burden. The center represents the governance transition between these two modes—a transition shaped by industrial upgrading, green innovation, and the attenuating role of digital economy development. Polycentric urban structure is retained as a supplementary interaction check rather than as a supported moderator.</w:t>
      </w:r>
    </w:p>
    <w:p>
      <w:pPr>
        <w:jc w:val="center"/>
      </w:pPr>
      <w:r>
        <w:rPr>
          <w:rFonts w:ascii="Times New Roman" w:hAnsi="Times New Roman"/>
          <w:b/>
          <w:sz w:val="22"/>
        </w:rPr>
        <w:t>Fig. 1. Conceptual framework: expansion-oriented coordination, governance transition, and efficiency-oriented coordination.</w:t>
      </w:r>
    </w:p>
    <w:p>
      <w:r>
        <w:rPr>
          <w:rFonts w:ascii="Times New Roman" w:hAnsi="Times New Roman"/>
          <w:b/>
          <w:sz w:val="26"/>
        </w:rPr>
        <w:t>3.1 Direct association between urban multidimensional spatial coupling coordination and carbon emissions</w:t>
      </w:r>
    </w:p>
    <w:p>
      <w:pPr>
        <w:ind w:firstLine="425"/>
      </w:pPr>
      <w:r>
        <w:rPr>
          <w:rFonts w:ascii="Times New Roman" w:hAnsi="Times New Roman"/>
          <w:sz w:val="24"/>
        </w:rPr>
        <w:t>Urban multidimensional coordination may generate a coordination paradox. On one hand, coordination can reduce information frictions, improve factor allocation, and enable more efficient urban operation. On the other hand, the same coordination processes can intensify infrastructure expansion, industrial concentration, and energy demand—particularly when governance remains oriented toward scale expansion rather than efficiency. This paradox reflects a fundamental governance tradeoff between expansion-oriented coordination and efficiency-oriented coordination.</w:t>
      </w:r>
    </w:p>
    <w:p>
      <w:pPr>
        <w:ind w:firstLine="425"/>
      </w:pPr>
      <w:r>
        <w:rPr>
          <w:rFonts w:ascii="Times New Roman" w:hAnsi="Times New Roman"/>
          <w:sz w:val="24"/>
        </w:rPr>
        <w:t>At low coordination levels, cities often rely on infrastructure expansion, industrial concentration, and additional energy input to connect production, living, ecological, and digital functions. In this stage, the emission cost of construction, transport, and functional reorganization may dominate the benefits of smoother coordination (Dhakal, 2009; Fang et al., 2015; Hong et al., 2022). As coordination deepens, factor allocation can become more efficient, information frictions can decline, and data-enabled governance can improve urban operation. Better matching among land use, industrial activity, public services, ecological monitoring, and digital networks may reduce redundant investment and lower emissions per unit of urban output (Creutzig et al., 2016; Yang et al., 2022; Cheng et al., 2023). The expected relationship is therefore nonlinear: it traces the transition from expansion-oriented to efficiency-oriented governance.</w:t>
      </w:r>
    </w:p>
    <w:p>
      <w:pPr>
        <w:ind w:firstLine="425"/>
      </w:pPr>
      <w:r>
        <w:rPr>
          <w:rFonts w:ascii="Times New Roman" w:hAnsi="Times New Roman"/>
          <w:sz w:val="24"/>
        </w:rPr>
        <w:t>H1. Urban multidimensional spatial coupling coordination exhibits an inverted U-shaped relationship with carbon emissions, reflecting a coordination paradox rooted in governance tradeoffs. At low coordination levels, expansion-oriented integration intensifies infrastructure expansion and energy demand. At higher levels, efficiency-oriented coordination can reduce the marginal emission burden. The environmental outcome depends on whether governance shifts from expansion-oriented to efficiency-oriented coordination.</w:t>
      </w:r>
    </w:p>
    <w:p>
      <w:r>
        <w:rPr>
          <w:rFonts w:ascii="Times New Roman" w:hAnsi="Times New Roman"/>
          <w:b/>
          <w:sz w:val="26"/>
        </w:rPr>
        <w:t>3.2 Restructuring pathway: industrial upgrading</w:t>
      </w:r>
    </w:p>
    <w:p>
      <w:pPr>
        <w:ind w:firstLine="425"/>
      </w:pPr>
      <w:r>
        <w:rPr>
          <w:rFonts w:ascii="Times New Roman" w:hAnsi="Times New Roman"/>
          <w:sz w:val="24"/>
        </w:rPr>
        <w:t>Industrial upgrading is a transition-related restructuring pathway through which multidimensional coordination may be associated with emissions. Structural change alters sectoral composition, energy intensity, and production efficiency. Existing evidence shows that industrial structure change is closely related to regional emissions, while the digital economy can accelerate the shift toward more advanced sectors (Tian et al., 2019; Chang et al., 2023). As production, living, ecological, and digital spaces become more coordinated, better factor allocation and stronger market matching can support restructuring.</w:t>
      </w:r>
    </w:p>
    <w:p>
      <w:pPr>
        <w:ind w:firstLine="425"/>
      </w:pPr>
      <w:r>
        <w:rPr>
          <w:rFonts w:ascii="Times New Roman" w:hAnsi="Times New Roman"/>
          <w:sz w:val="24"/>
        </w:rPr>
        <w:t>The short-run implication is not necessarily low-carbon. During transition periods, emerging industries often coexist with traditional sectors. Restructuring requires new investment, equipment renewal, construction of modern facilities, and additional energy input. Multidimensional coordination may therefore be associated with industrial upgrading as a stage-dependent pathway, while the emission implication depends on the timing and quality of restructuring.</w:t>
      </w:r>
    </w:p>
    <w:p>
      <w:pPr>
        <w:ind w:firstLine="425"/>
      </w:pPr>
      <w:r>
        <w:rPr>
          <w:rFonts w:ascii="Times New Roman" w:hAnsi="Times New Roman"/>
          <w:sz w:val="24"/>
        </w:rPr>
        <w:t>H2. Industrial upgrading may operate as a stage-dependent restructuring pathway associated with the emission implications of urban multidimensional spatial coupling coordination.</w:t>
      </w:r>
    </w:p>
    <w:p>
      <w:r>
        <w:rPr>
          <w:rFonts w:ascii="Times New Roman" w:hAnsi="Times New Roman"/>
          <w:b/>
          <w:sz w:val="26"/>
        </w:rPr>
        <w:t>3.3 Restructuring pathway: green technological innovation</w:t>
      </w:r>
    </w:p>
    <w:p>
      <w:pPr>
        <w:ind w:firstLine="425"/>
      </w:pPr>
      <w:r>
        <w:rPr>
          <w:rFonts w:ascii="Times New Roman" w:hAnsi="Times New Roman"/>
          <w:sz w:val="24"/>
        </w:rPr>
        <w:t>Green technological innovation is another stage-dependent pathway. Patent-based evidence shows that green innovation can reduce emissions, although the timing and magnitude vary across contexts (Du et al., 2019; Lin and Ma, 2022). A more coordinated urban system can strengthen knowledge spillovers, broaden application scenarios, and improve institutional conditions for cleaner production. Digital space matters because platforms, data resources, and intelligent systems can accelerate the generation, diffusion, and commercialization of green technologies.</w:t>
      </w:r>
    </w:p>
    <w:p>
      <w:pPr>
        <w:ind w:firstLine="425"/>
      </w:pPr>
      <w:r>
        <w:rPr>
          <w:rFonts w:ascii="Times New Roman" w:hAnsi="Times New Roman"/>
          <w:sz w:val="24"/>
        </w:rPr>
        <w:t>These dynamics can also raise short-run emissions. Research and development, experimentation, equipment replacement, commercialization, and technology adoption all require capital and energy. Efficiency gains may also be partly offset by rebound effects (Lange et al., 2020; Obringer et al., 2021). Green innovation is therefore best understood here as a stage-dependent pathway rather than an immediate emission-reduction pathway.</w:t>
      </w:r>
    </w:p>
    <w:p>
      <w:pPr>
        <w:ind w:firstLine="425"/>
      </w:pPr>
      <w:r>
        <w:rPr>
          <w:rFonts w:ascii="Times New Roman" w:hAnsi="Times New Roman"/>
          <w:sz w:val="24"/>
        </w:rPr>
        <w:t>H3. Green technological innovation may operate as a stage-dependent pathway associated with the emission implications of urban multidimensional spatial coupling coordination.</w:t>
      </w:r>
    </w:p>
    <w:p>
      <w:r>
        <w:rPr>
          <w:rFonts w:ascii="Times New Roman" w:hAnsi="Times New Roman"/>
          <w:b/>
          <w:sz w:val="26"/>
        </w:rPr>
        <w:t>3.4 Moderating role of digital economy development</w:t>
      </w:r>
    </w:p>
    <w:p>
      <w:pPr>
        <w:ind w:firstLine="425"/>
      </w:pPr>
      <w:r>
        <w:rPr>
          <w:rFonts w:ascii="Times New Roman" w:hAnsi="Times New Roman"/>
          <w:sz w:val="24"/>
        </w:rPr>
        <w:t>Digital economy development may condition the nonlinear relationship between multidimensional coordination and lnCE. At early coordination stages, integration across production, living, ecological, and digital functions can create expansion-related emission costs through new infrastructure, spatial reorganization, and intensified activity. A stronger digital economy can reduce these costs by improving information matching, logistics scheduling, public-service allocation, smart transport, energy management, and cross-departmental governance.</w:t>
      </w:r>
    </w:p>
    <w:p>
      <w:pPr>
        <w:ind w:firstLine="425"/>
      </w:pPr>
      <w:r>
        <w:rPr>
          <w:rFonts w:ascii="Times New Roman" w:hAnsi="Times New Roman"/>
          <w:sz w:val="24"/>
        </w:rPr>
        <w:t>The theoretical expectation is attenuation rather than an earlier turning point. Digital capability can reduce the marginal emission cost associated with coordination and flatten the nonlinear curvature. In governance terms, it can help shift coordination from a construction- and expansion-oriented process toward a data-enabled efficiency process. Accordingly, digital economy development is treated as the main boundary condition.</w:t>
      </w:r>
    </w:p>
    <w:p>
      <w:pPr>
        <w:ind w:firstLine="425"/>
      </w:pPr>
      <w:r>
        <w:rPr>
          <w:rFonts w:ascii="Times New Roman" w:hAnsi="Times New Roman"/>
          <w:sz w:val="24"/>
        </w:rPr>
        <w:t>H4. Digital economy development reshapes and attenuates the nonlinear emission implications of multidimensional spatial coupling coordination.</w:t>
      </w:r>
    </w:p>
    <w:p>
      <w:r>
        <w:rPr>
          <w:rFonts w:ascii="Times New Roman" w:hAnsi="Times New Roman"/>
          <w:b/>
          <w:sz w:val="26"/>
        </w:rPr>
        <w:t>3.5 Supplementary boundary condition: polycentric urban structure</w:t>
      </w:r>
    </w:p>
    <w:p>
      <w:pPr>
        <w:ind w:firstLine="425"/>
      </w:pPr>
      <w:r>
        <w:rPr>
          <w:rFonts w:ascii="Times New Roman" w:hAnsi="Times New Roman"/>
          <w:sz w:val="24"/>
        </w:rPr>
        <w:t>Urban spatial form provides another possible boundary condition. Although polycentric development is often associated with lower congestion and more balanced growth, its environmental implication is not uniformly positive (Jung et al., 2022; Shi et al., 2023; Wang et al., 2024; Zhang et al., 2024). When centers are weakly connected or jobs and residences remain mismatched, polycentricity can raise coordination costs, lengthen commuting and logistics chains, and require repeated infrastructure investment. The revised manuscript therefore treats polycentricity as a supplementary interaction check rather than as a supported moderator.</w:t>
      </w:r>
    </w:p>
    <w:p>
      <w:r>
        <w:rPr>
          <w:rFonts w:ascii="Times New Roman" w:hAnsi="Times New Roman"/>
          <w:b/>
          <w:sz w:val="28"/>
        </w:rPr>
        <w:t>4. Data, variables and empirical strategy</w:t>
      </w:r>
    </w:p>
    <w:p>
      <w:r>
        <w:rPr>
          <w:rFonts w:ascii="Times New Roman" w:hAnsi="Times New Roman"/>
          <w:b/>
          <w:sz w:val="26"/>
        </w:rPr>
        <w:t>4.1 Data source and sample</w:t>
      </w:r>
    </w:p>
    <w:p>
      <w:pPr>
        <w:ind w:firstLine="425"/>
      </w:pPr>
      <w:r>
        <w:rPr>
          <w:rFonts w:ascii="Times New Roman" w:hAnsi="Times New Roman"/>
          <w:sz w:val="24"/>
        </w:rPr>
        <w:t>This study examines 284 prefecture-level and above cities in China over 2006–2024, covering 5,396 city-year observations. The 2022–2024 observations are derived from real statistical records rather than model-generated estimates. The sample window is determined by the availability of multidimensional spatial indicators and city-level carbon-emission data. Raw data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taken from the Emissions Database for Global Atmospheric Research (EDGAR), which ensures temporal comparability under a consistent accounting framework.</w:t>
      </w:r>
    </w:p>
    <w:p>
      <w:r>
        <w:rPr>
          <w:rFonts w:ascii="Times New Roman" w:hAnsi="Times New Roman"/>
          <w:b/>
          <w:sz w:val="26"/>
        </w:rPr>
        <w:t>4.2 Variables and index construction</w:t>
      </w:r>
    </w:p>
    <w:p>
      <w:pPr>
        <w:ind w:firstLine="425"/>
      </w:pPr>
      <w:r>
        <w:rPr>
          <w:rFonts w:ascii="Times New Roman" w:hAnsi="Times New Roman"/>
          <w:sz w:val="24"/>
        </w:rPr>
        <w:t>The dependent variable is lnCE, defined as ln(CE_raw + 1), where CE_raw denotes city-level carbon emissions. In the available Stata file, this log-transformed variable is stored under the original variable name CE; therefore, the empirical workflow renames CE as lnCE without applying an additional logarithmic transformation.</w:t>
      </w:r>
    </w:p>
    <w:p>
      <w:pPr>
        <w:ind w:firstLine="425"/>
      </w:pPr>
      <w:r>
        <w:rPr>
          <w:rFonts w:ascii="Times New Roman" w:hAnsi="Times New Roman"/>
          <w:sz w:val="24"/>
        </w:rPr>
        <w:t>The core explanatory variable is the spatial coupling coordination degree (SCCD) of urban multidimensional spatial functions. The indicator system covers four functional dimensions, 13 criterion-level dimensions, and 36 specific indicators after deleting one policy-term frequency indicator. Larger SCCD values indicate stronger coordination across production, living, ecological, and digital spaces.</w:t>
      </w:r>
    </w:p>
    <w:p>
      <w:pPr>
        <w:ind w:firstLine="425"/>
      </w:pPr>
      <w:r>
        <w:rPr>
          <w:rFonts w:ascii="Times New Roman" w:hAnsi="Times New Roman"/>
          <w:sz w:val="24"/>
        </w:rPr>
        <w:t>Specifically, production space is captured by indicators reflecting agricultural, industrial, and service-sector output and efficiency; living space is measured by indicators of basic conditions, medical services, education, science and technology, and cultural resources; ecological space is measured by indicators of environmental pressure, environmental status, and environmental response; and digital space is measured by indicators of informatization, digital-intelligent development, and networked development.</w:t>
      </w:r>
    </w:p>
    <w:p>
      <w:pPr>
        <w:ind w:firstLine="425"/>
      </w:pPr>
      <w:r>
        <w:rPr>
          <w:rFonts w:ascii="Times New Roman" w:hAnsi="Times New Roman"/>
          <w:sz w:val="24"/>
        </w:rPr>
        <w:t>The SCCD index is constructed in six steps. First, each indicator is normalized according to its direction. For positive indicators, x_norm[j,it] = (x[j,it] − min(x[j])) / (max(x[j]) − min(x[j])). For negative indicators, x_norm[j,it] = (max(x[j]) − x[j,it]) / (max(x[j]) − min(x[j])).</w:t>
      </w:r>
    </w:p>
    <w:p>
      <w:pPr>
        <w:ind w:firstLine="425"/>
      </w:pPr>
      <w:r>
        <w:rPr>
          <w:rFonts w:ascii="Times New Roman" w:hAnsi="Times New Roman"/>
          <w:sz w:val="24"/>
        </w:rPr>
        <w:t>Second, the entropy-weighting method is applied within each functional subsystem. The normalized share is p[j,it] = x_norm[j,it] / Σ_i Σ_t x_norm[j,it]. The entropy value is e[j] = −k Σ_i Σ_t p[j,it] ln(p[j,it]), and the indicator weight is w[j] = (1 − e[j]) / Σ_j(1 − e[j]).</w:t>
      </w:r>
    </w:p>
    <w:p>
      <w:pPr>
        <w:ind w:firstLine="425"/>
      </w:pPr>
      <w:r>
        <w:rPr>
          <w:rFonts w:ascii="Times New Roman" w:hAnsi="Times New Roman"/>
          <w:sz w:val="24"/>
        </w:rPr>
        <w:t>Third, the development score of each functional space is calculated as U[k,it] = Σ_j w[j] x_norm[j,it], where k denotes production, living, ecological, or digital space. Fourth, the comprehensive development index is T[it] = Σ_k a[k] U[k,it], with equal weights a[k] = 1/4 assigned to the four functional spaces.</w:t>
      </w:r>
    </w:p>
    <w:p>
      <w:pPr>
        <w:ind w:firstLine="425"/>
      </w:pPr>
      <w:r>
        <w:rPr>
          <w:rFonts w:ascii="Times New Roman" w:hAnsi="Times New Roman"/>
          <w:sz w:val="24"/>
        </w:rPr>
        <w:t>Fifth, the coupling degree is C[it] = {Π_k U[k,it] / [(Σ_k U[k,it] / 4)⁴]}^(1/4). Finally, the coordination degree is SCCD[it] = √(C[it] × T[it]). Equal weights across production, living, ecological, and digital spaces are used in the final coordination-degree construction to avoid allowing any single dimension to dominate the overall index.</w:t>
      </w:r>
    </w:p>
    <w:p>
      <w:pPr>
        <w:ind w:firstLine="425"/>
      </w:pPr>
      <w:r>
        <w:rPr>
          <w:rFonts w:ascii="Times New Roman" w:hAnsi="Times New Roman"/>
          <w:sz w:val="24"/>
        </w:rPr>
        <w:t>It is important to clarify what SCCD does and does not measure. SCCD is not a general urban development or modernization index. It measures the coordinated evolution among production, living, ecological, and digital subsystems—capturing the degree to which these four functional dimensions develop in a balanced and mutually reinforcing manner. A city may have strong economic output but weak ecological integration or limited digital connectivity, and would therefore exhibit lower coordination quality despite high development magnitude. The coupling framework emphasizes subsystem balance and interaction intensity rather than simple scale expansion. Conceptually, SCCD distinguishes coordination quality from development magnitude: two cities with similar aggregate output may differ substantially in how well their functional subsystems are aligned, and this alignment—or its absence—is what the index is designed to capture.</w:t>
      </w:r>
    </w:p>
    <w:p>
      <w:pPr>
        <w:jc w:val="center"/>
      </w:pPr>
      <w:r>
        <w:rPr>
          <w:rFonts w:ascii="Times New Roman" w:hAnsi="Times New Roman"/>
          <w:b/>
          <w:sz w:val="22"/>
        </w:rPr>
        <w:t>Table 1 reports a compressed summary of the SCCD indicator system, while detailed indicators are reported in Appendix Table A1.</w:t>
      </w:r>
    </w:p>
    <w:p>
      <w:pPr>
        <w:jc w:val="center"/>
      </w:pPr>
      <w:r>
        <w:rPr>
          <w:rFonts w:ascii="Times New Roman" w:hAnsi="Times New Roman"/>
          <w:b/>
          <w:sz w:val="22"/>
        </w:rPr>
        <w:t>Table 1. Urban multidimensional spatial indicator system (summary).</w:t>
      </w:r>
    </w:p>
    <w:p>
      <w:r>
        <w:rPr>
          <w:rFonts w:ascii="Times New Roman" w:hAnsi="Times New Roman"/>
          <w:i/>
          <w:color w:val="808080"/>
          <w:sz w:val="20"/>
        </w:rPr>
        <w:t>[Table 1 content preserved — see original]</w:t>
      </w:r>
    </w:p>
    <w:p>
      <w:pPr>
        <w:ind w:firstLine="425"/>
      </w:pPr>
      <w:r>
        <w:rPr>
          <w:rFonts w:ascii="Times New Roman" w:hAnsi="Times New Roman"/>
          <w:sz w:val="24"/>
        </w:rPr>
        <w:t>Two restructuring variables are included in the pathway analysis. Industrial upgrading (OIU) is measured by a weighted industrial-structure index, defined as the share of the primary, secondary, and tertiary sectors in GDP multiplied by 1, 2, and 3, respectively. Green technological innovation (GTI) is measured by the logarithm of green patents granted.</w:t>
      </w:r>
    </w:p>
    <w:p>
      <w:pPr>
        <w:ind w:firstLine="425"/>
      </w:pPr>
      <w:r>
        <w:rPr>
          <w:rFonts w:ascii="Times New Roman" w:hAnsi="Times New Roman"/>
          <w:sz w:val="24"/>
        </w:rPr>
        <w:t>Digital economy index (DEI) is examined as the main moderating variable because it captures the broader digital-development environment across cities and remains statistically supported in the revised 2006–2024 estimates. Polycentricity (POLY), reflecting spatial dispersion and multi-center organization, is retained only as a supplementary interaction check.</w:t>
      </w:r>
    </w:p>
    <w:p>
      <w:pPr>
        <w:ind w:firstLine="425"/>
      </w:pPr>
      <w:r>
        <w:rPr>
          <w:rFonts w:ascii="Times New Roman" w:hAnsi="Times New Roman"/>
          <w:sz w:val="24"/>
        </w:rPr>
        <w:t>To reduce omitted-variable bias, the model controls for trade openness (OPEN), measured by the ratio of total imports and exports to GDP; urbanization rate (UR), measured by the share of the urban population; urban-rural income gap (URG), measured by the ratio of urban to rural income; and government intervention intensity (GI), proxied by the ratio of local general public budget expenditure to GDP.</w:t>
      </w:r>
    </w:p>
    <w:p>
      <w:r>
        <w:rPr>
          <w:rFonts w:ascii="Times New Roman" w:hAnsi="Times New Roman"/>
          <w:b/>
          <w:sz w:val="26"/>
        </w:rPr>
        <w:t>4.3 Descriptive statistics</w:t>
      </w:r>
    </w:p>
    <w:p>
      <w:pPr>
        <w:jc w:val="center"/>
      </w:pPr>
      <w:r>
        <w:rPr>
          <w:rFonts w:ascii="Times New Roman" w:hAnsi="Times New Roman"/>
          <w:b/>
          <w:sz w:val="22"/>
        </w:rPr>
        <w:t>Table 2 reports descriptive statistics for the 2006–2024 main sample. The mean value of lnCE is 4.612, whereas the mean SCCD is 0.318, suggesting that most sample cities remain at a moderate level of multidimensional coordination. The data also show substantial cross-city variation in digital economy development, green innovation, and polycentric urban structure, supporting the analysis of nonlinear patterns, restructuring pathways, and boundary conditions.</w:t>
      </w:r>
    </w:p>
    <w:p>
      <w:pPr>
        <w:jc w:val="center"/>
      </w:pPr>
      <w:r>
        <w:rPr>
          <w:rFonts w:ascii="Times New Roman" w:hAnsi="Times New Roman"/>
          <w:b/>
          <w:sz w:val="22"/>
        </w:rPr>
        <w:t>Table 2. Descriptive statistics.</w:t>
      </w:r>
    </w:p>
    <w:p>
      <w:r>
        <w:rPr>
          <w:rFonts w:ascii="Times New Roman" w:hAnsi="Times New Roman"/>
          <w:i/>
          <w:color w:val="808080"/>
          <w:sz w:val="20"/>
        </w:rPr>
        <w:t>[Table 2 content preserved — see original]</w:t>
      </w:r>
    </w:p>
    <w:p>
      <w:pPr>
        <w:jc w:val="center"/>
      </w:pPr>
      <w:r>
        <w:rPr>
          <w:rFonts w:ascii="Times New Roman" w:hAnsi="Times New Roman"/>
          <w:b/>
          <w:sz w:val="22"/>
        </w:rPr>
        <w:t>Fig. 2 visualizes the SCCD distribution in the 2006–2024 main sample. The distribution provides descriptive context for the nonlinear empirical analysis.</w:t>
      </w:r>
    </w:p>
    <w:p>
      <w:pPr>
        <w:jc w:val="center"/>
      </w:pPr>
      <w:r>
        <w:rPr>
          <w:rFonts w:ascii="Times New Roman" w:hAnsi="Times New Roman"/>
          <w:b/>
          <w:sz w:val="22"/>
        </w:rPr>
        <w:t>Fig. 2. Distribution of SCCD in the 2006–2024 main sample. Note: SCCD denotes the spatial coupling coordination degree.</w:t>
      </w:r>
    </w:p>
    <w:p>
      <w:r>
        <w:rPr>
          <w:rFonts w:ascii="Times New Roman" w:hAnsi="Times New Roman"/>
          <w:b/>
          <w:sz w:val="26"/>
        </w:rPr>
        <w:t>4.4 Empirical strategy</w:t>
      </w:r>
    </w:p>
    <w:p>
      <w:pPr>
        <w:ind w:firstLine="425"/>
      </w:pPr>
      <w:r>
        <w:rPr>
          <w:rFonts w:ascii="Times New Roman" w:hAnsi="Times New Roman"/>
          <w:sz w:val="24"/>
        </w:rPr>
        <w:t>The benchmark model adopts a two-way fixed-effects specification to estimate the association between urban multidimensional coordination and lnCE. Both SCCD and its squared term are included to capture the possibility that the emission implication changes across development stages. City fixed effects control for time-invariant heterogeneity, while year fixed effects absorb common macro shocks and policy changes.</w:t>
      </w:r>
    </w:p>
    <w:p>
      <w:pPr>
        <w:ind w:firstLine="425"/>
      </w:pPr>
      <w:r>
        <w:rPr>
          <w:rFonts w:ascii="Times New Roman" w:hAnsi="Times New Roman"/>
          <w:sz w:val="24"/>
        </w:rPr>
        <w:t>lnCE_it = β₀ + β₁SCCD_it + β₂SCCD²_it + β₃X_it + μᵢ + λₜ + ε_it</w:t>
      </w:r>
    </w:p>
    <w:p>
      <w:pPr>
        <w:ind w:firstLine="425"/>
      </w:pPr>
      <w:r>
        <w:rPr>
          <w:rFonts w:ascii="Times New Roman" w:hAnsi="Times New Roman"/>
          <w:sz w:val="24"/>
        </w:rPr>
        <w:t>To examine stage-dependent patterns, this study estimates restructuring equations for industrial upgrading and green technological innovation. Each restructuring variable is first regressed on SCCD and its squared term, and is then introduced into the lnCE equation. The current workflow does not estimate formal pathway decomposition, pathway-effect magnitudes, or confidence intervals. Results are therefore interpreted as restructuring-pattern evidence, not as decomposed pathway estimates.</w:t>
      </w:r>
    </w:p>
    <w:p>
      <w:pPr>
        <w:ind w:firstLine="425"/>
      </w:pPr>
      <w:r>
        <w:rPr>
          <w:rFonts w:ascii="Times New Roman" w:hAnsi="Times New Roman"/>
          <w:sz w:val="24"/>
        </w:rPr>
        <w:t>M_it = α₀ + α₁SCCD_it + α₂SCCD²_it + α₃X_it + μᵢ + λₜ + ν_it</w:t>
      </w:r>
    </w:p>
    <w:p>
      <w:pPr>
        <w:ind w:firstLine="425"/>
      </w:pPr>
      <w:r>
        <w:rPr>
          <w:rFonts w:ascii="Times New Roman" w:hAnsi="Times New Roman"/>
          <w:sz w:val="24"/>
        </w:rPr>
        <w:t>lnCE_it = δ₀ + δ₁SCCD_it + δ₂SCCD²_it + δ₃M_it + δ₄X_it + μᵢ + λₜ + ξ_it</w:t>
      </w:r>
    </w:p>
    <w:p>
      <w:pPr>
        <w:ind w:firstLine="425"/>
      </w:pPr>
      <w:r>
        <w:rPr>
          <w:rFonts w:ascii="Times New Roman" w:hAnsi="Times New Roman"/>
          <w:sz w:val="24"/>
        </w:rPr>
        <w:t>To examine boundary conditions, interaction terms are constructed between SCCD and selected contextual variables. Digital economy development is the primary moderator. POLY is retained as a supplementary check.</w:t>
      </w:r>
    </w:p>
    <w:p>
      <w:pPr>
        <w:ind w:firstLine="425"/>
      </w:pPr>
      <w:r>
        <w:rPr>
          <w:rFonts w:ascii="Times New Roman" w:hAnsi="Times New Roman"/>
          <w:sz w:val="24"/>
        </w:rPr>
        <w:t>lnCE_it = θ₀ + θ₁SCCD_it + θ₂SCCD²_it + θ₃Z_it + θ₄SCCD_it × Z_it + θ₅SCCD²_it × Z_it + θ₆X_it + μᵢ + λₜ + ω_it</w:t>
      </w:r>
    </w:p>
    <w:p>
      <w:pPr>
        <w:ind w:firstLine="425"/>
      </w:pPr>
      <w:r>
        <w:rPr>
          <w:rFonts w:ascii="Times New Roman" w:hAnsi="Times New Roman"/>
          <w:sz w:val="24"/>
        </w:rPr>
        <w:t>In the equations above, X_it denotes the vector of control variables, M_it denotes the restructuring variable, Z_it denotes the moderating or supplementary interaction variable, μᵢ denotes city fixed effects, and λₜ denotes year fixed effects. Robust standard errors are used throughout.</w:t>
      </w:r>
    </w:p>
    <w:p>
      <w:r>
        <w:rPr>
          <w:rFonts w:ascii="Times New Roman" w:hAnsi="Times New Roman"/>
          <w:b/>
          <w:sz w:val="28"/>
        </w:rPr>
        <w:t>5. Results</w:t>
      </w:r>
    </w:p>
    <w:p>
      <w:r>
        <w:rPr>
          <w:rFonts w:ascii="Times New Roman" w:hAnsi="Times New Roman"/>
          <w:b/>
          <w:sz w:val="26"/>
        </w:rPr>
        <w:t>5.1 Baseline results</w:t>
      </w:r>
    </w:p>
    <w:p>
      <w:pPr>
        <w:jc w:val="center"/>
      </w:pPr>
      <w:r>
        <w:rPr>
          <w:rFonts w:ascii="Times New Roman" w:hAnsi="Times New Roman"/>
          <w:b/>
          <w:sz w:val="22"/>
        </w:rPr>
        <w:t>Table 3 reports the baseline estimates for the 2006–2024 main sample. Across all specifications, the coefficient on SCCD is significantly positive and the coefficient on SCCD² is significantly negative, providing evidence of an inverted U-shaped relationship between multidimensional coordination and lnCE. In the full-control specification, the coefficient of SCCD is 8.378 and the coefficient of SCCD² is −7.725, both significant at the 1% level. The result indicates that the emission implication of coordination is not monotonic. Early coordination remains linked to infrastructure expansion, construction activity, factor agglomeration, and rising energy demand. At higher coordination levels, efficiency gains and improved allocation become more visible.</w:t>
      </w:r>
    </w:p>
    <w:p>
      <w:pPr>
        <w:jc w:val="center"/>
      </w:pPr>
      <w:r>
        <w:rPr>
          <w:rFonts w:ascii="Times New Roman" w:hAnsi="Times New Roman"/>
          <w:b/>
          <w:sz w:val="22"/>
        </w:rPr>
        <w:t>Table 3. Baseline regression results.</w:t>
      </w:r>
    </w:p>
    <w:p>
      <w:r>
        <w:rPr>
          <w:rFonts w:ascii="Times New Roman" w:hAnsi="Times New Roman"/>
          <w:i/>
          <w:color w:val="808080"/>
          <w:sz w:val="20"/>
        </w:rPr>
        <w:t>[Table 3 content preserved — see original]</w:t>
      </w:r>
    </w:p>
    <w:p>
      <w:pPr>
        <w:ind w:firstLine="425"/>
      </w:pPr>
      <w:r>
        <w:rPr>
          <w:rFonts w:ascii="Times New Roman" w:hAnsi="Times New Roman"/>
          <w:sz w:val="24"/>
        </w:rPr>
        <w:t>The estimated turning point is 0.542, calculated from the 2006–2024 full-control specification. This value lies within the SCCD range of 0.121 to 0.822, but it should not be read as a universal policy threshold. Most sample cities remain substantially below this point, indicating that the transition from expansion-oriented to efficiency-oriented governance has not yet occurred for most cities. A formal nonlinear test supports the inverted-U pattern: the left-endpoint marginal effect is significantly positive (6.502, p &lt; 0.001), the right-endpoint marginal effect is significantly negative (−4.325, p = 0.005), and the nlcom 95% confidence interval for the turning point is [0.450, 0.634]. Fig. 3 provides a descriptive bivariate visualization of the lnCE–SCCD relationship, but the interpretation is based on the two-way fixed-effects estimates in Table 3.</w:t>
      </w:r>
    </w:p>
    <w:p>
      <w:pPr>
        <w:ind w:firstLine="425"/>
      </w:pPr>
      <w:r>
        <w:rPr>
          <w:rFonts w:ascii="Times New Roman" w:hAnsi="Times New Roman"/>
          <w:sz w:val="24"/>
        </w:rPr>
        <w:t>Among the controls, trade openness is positively associated with carbon emissions, suggesting that greater exposure to trade remained linked to higher emission intensity during the sample period. Urbanization rate is also significantly positive, implying that population concentration and urban expansion continued to increase emissions. By contrast, the urban-rural income gap becomes insignificant in the fully specified model, whereas government intervention intensity is significantly negative, indicating that stronger fiscal intervention may help curb emissions through public governance.</w:t>
      </w:r>
    </w:p>
    <w:p>
      <w:pPr>
        <w:jc w:val="center"/>
      </w:pPr>
      <w:r>
        <w:rPr>
          <w:rFonts w:ascii="Times New Roman" w:hAnsi="Times New Roman"/>
          <w:b/>
          <w:sz w:val="22"/>
        </w:rPr>
        <w:t>Fig. 3. Nonlinear relationship between SCCD and lnCE.</w:t>
      </w:r>
    </w:p>
    <w:p>
      <w:pPr>
        <w:ind w:firstLine="425"/>
      </w:pPr>
      <w:r>
        <w:rPr>
          <w:rFonts w:ascii="Times New Roman" w:hAnsi="Times New Roman"/>
          <w:sz w:val="24"/>
        </w:rPr>
        <w:t>From a policy perspective, the baseline evidence underscores the coordination paradox: higher coordination does not automatically produce better environmental outcomes. In the absence of cleaner energy systems, green standards, and strong data-enabled governance, coordination may accelerate the circulation of carbon-intensive activities across urban functions. The governance challenge is to manage the transition from expansion-oriented coordination toward efficiency-oriented coordination—a sequencing problem, not merely a coordination-level problem.</w:t>
      </w:r>
    </w:p>
    <w:p>
      <w:r>
        <w:rPr>
          <w:rFonts w:ascii="Times New Roman" w:hAnsi="Times New Roman"/>
          <w:b/>
          <w:sz w:val="26"/>
        </w:rPr>
        <w:t>5.2 Robustness and supplementary identification checks</w:t>
      </w:r>
    </w:p>
    <w:p>
      <w:pPr>
        <w:jc w:val="center"/>
      </w:pPr>
      <w:r>
        <w:rPr>
          <w:rFonts w:ascii="Times New Roman" w:hAnsi="Times New Roman"/>
          <w:b/>
          <w:sz w:val="22"/>
        </w:rPr>
        <w:t>Table 4 reports robustness and supplementary IV evidence for the 2006–2024 main sample. Panel A shows that the nonlinear pattern remains after winsorizing variables at the 1% level and when replacing lnCE with average nighttime light intensity (NTL). NTL is used as an alternative urban activity proxy, not as a direct carbon proxy, to test whether the nonlinear coordination pattern is specific to the carbon-emissions measure.</w:t>
      </w:r>
    </w:p>
    <w:p>
      <w:pPr>
        <w:jc w:val="center"/>
      </w:pPr>
      <w:r>
        <w:rPr>
          <w:rFonts w:ascii="Times New Roman" w:hAnsi="Times New Roman"/>
          <w:b/>
          <w:sz w:val="22"/>
        </w:rPr>
        <w:t>Table 4. Robustness and supplementary IV results.</w:t>
      </w:r>
    </w:p>
    <w:p>
      <w:r>
        <w:rPr>
          <w:rFonts w:ascii="Times New Roman" w:hAnsi="Times New Roman"/>
          <w:i/>
          <w:color w:val="808080"/>
          <w:sz w:val="20"/>
        </w:rPr>
        <w:t>[Table 4 content preserved — see original]</w:t>
      </w:r>
    </w:p>
    <w:p>
      <w:pPr>
        <w:ind w:firstLine="425"/>
      </w:pPr>
      <w:r>
        <w:rPr>
          <w:rFonts w:ascii="Times New Roman" w:hAnsi="Times New Roman"/>
          <w:sz w:val="24"/>
        </w:rPr>
        <w:t>As a supplementary persistence-adjusted estimation, lagged SCCD and lagged SCCD² are used as instruments for SCCD and SCCD² in a two-stage least squares framework. This strategy provides supplementary IV-based robustness evidence but should not be interpreted as resolving endogeneity: lagged-value instruments rely on temporal structure rather than external variation, and they do not eliminate concerns about unobserved confounders or reverse causality. The second-stage results show that the coefficient of SCCD remains significantly positive and SCCD² remains significantly negative. The implied IV turning point is approximately 0.638, within the sample SCCD range, but is interpreted only as supplementary evidence. First-stage diagnostics support instrument relevance: the first-stage F statistics are 85.651 for SCCD and 106.982 for SCCD², the Kleibergen-Paap rk LM statistic is 57.623 (p &lt; 0.001), and the Kleibergen-Paap rk Wald F statistic is 73.061. The overidentification test is not applicable because the model is exactly identified.</w:t>
      </w:r>
    </w:p>
    <w:p>
      <w:r>
        <w:rPr>
          <w:rFonts w:ascii="Times New Roman" w:hAnsi="Times New Roman"/>
          <w:b/>
          <w:sz w:val="26"/>
        </w:rPr>
        <w:t>5.3 Regional heterogeneity</w:t>
      </w:r>
    </w:p>
    <w:p>
      <w:pPr>
        <w:jc w:val="center"/>
      </w:pPr>
      <w:r>
        <w:rPr>
          <w:rFonts w:ascii="Times New Roman" w:hAnsi="Times New Roman"/>
          <w:b/>
          <w:sz w:val="22"/>
        </w:rPr>
        <w:t>Table 5 reports regional heterogeneity results. Given substantial differences in development patterns, industrial structure, and urbanization, this study further examines whether the SCCD–lnCE relationship differs across eastern, central, and western China. The estimates show that the inverted U-shaped pattern remains statistically significant in all three regions. The absolute value of the quadratic coefficient is largest in central China (−11.725), followed by western China (−7.151) and eastern China (−6.922), indicating that lnCE in central China is most responsive to changes in multidimensional coordination.</w:t>
      </w:r>
    </w:p>
    <w:p>
      <w:pPr>
        <w:jc w:val="center"/>
      </w:pPr>
      <w:r>
        <w:rPr>
          <w:rFonts w:ascii="Times New Roman" w:hAnsi="Times New Roman"/>
          <w:b/>
          <w:sz w:val="22"/>
        </w:rPr>
        <w:t>Table 5. Regional heterogeneity results.</w:t>
      </w:r>
    </w:p>
    <w:p>
      <w:r>
        <w:rPr>
          <w:rFonts w:ascii="Times New Roman" w:hAnsi="Times New Roman"/>
          <w:i/>
          <w:color w:val="808080"/>
          <w:sz w:val="20"/>
        </w:rPr>
        <w:t>[Table 5 content preserved — see original]</w:t>
      </w:r>
    </w:p>
    <w:p>
      <w:pPr>
        <w:ind w:firstLine="425"/>
      </w:pPr>
      <w:r>
        <w:rPr>
          <w:rFonts w:ascii="Times New Roman" w:hAnsi="Times New Roman"/>
          <w:sz w:val="24"/>
        </w:rPr>
        <w:t>In eastern China, the estimated curve is flatter, likely because industrial upgrading, digital development, and efficiency gains already play a larger role than large-scale physical expansion. In western China, the pattern remains pronounced, which may reflect the coexistence of infrastructure investment, industrial catch-up, and uneven digital development.</w:t>
      </w:r>
    </w:p>
    <w:p>
      <w:pPr>
        <w:ind w:firstLine="425"/>
      </w:pPr>
      <w:r>
        <w:rPr>
          <w:rFonts w:ascii="Times New Roman" w:hAnsi="Times New Roman"/>
          <w:sz w:val="24"/>
        </w:rPr>
        <w:t>These findings imply that a uniform national pathway is unlikely to be effective. Cities in central China may have greater potential gains from improved coordination, but they may also face stronger transition pressures. Sequencing is therefore important. Digital investment, industrial restructuring, and ecological governance need to be advanced together rather than through isolated policy pushes.</w:t>
      </w:r>
    </w:p>
    <w:p>
      <w:r>
        <w:rPr>
          <w:rFonts w:ascii="Times New Roman" w:hAnsi="Times New Roman"/>
          <w:b/>
          <w:sz w:val="26"/>
        </w:rPr>
        <w:t>5.4 Restructuring pattern evidence</w:t>
      </w:r>
    </w:p>
    <w:p>
      <w:pPr>
        <w:jc w:val="center"/>
      </w:pPr>
      <w:r>
        <w:rPr>
          <w:rFonts w:ascii="Times New Roman" w:hAnsi="Times New Roman"/>
          <w:b/>
          <w:sz w:val="22"/>
        </w:rPr>
        <w:t>Table 6 reports restructuring-pattern evidence for the 2006–2024 main sample. The analysis examines whether industrial upgrading and green technological innovation are associated with the SCCD–lnCE relationship. The results show a nonlinear association between SCCD and both restructuring variables, suggesting that stronger coordination initially accompanies industrial upgrading and green innovation, but these associations weaken as coordination matures. Results are interpreted as associated pathway evidence rather than as pathway decomposition.</w:t>
      </w:r>
    </w:p>
    <w:p>
      <w:pPr>
        <w:jc w:val="center"/>
      </w:pPr>
      <w:r>
        <w:rPr>
          <w:rFonts w:ascii="Times New Roman" w:hAnsi="Times New Roman"/>
          <w:b/>
          <w:sz w:val="22"/>
        </w:rPr>
        <w:t>Table 6. Restructuring pattern results.</w:t>
      </w:r>
    </w:p>
    <w:p>
      <w:r>
        <w:rPr>
          <w:rFonts w:ascii="Times New Roman" w:hAnsi="Times New Roman"/>
          <w:i/>
          <w:color w:val="808080"/>
          <w:sz w:val="20"/>
        </w:rPr>
        <w:t>[Table 6 content preserved — see original]</w:t>
      </w:r>
    </w:p>
    <w:p>
      <w:pPr>
        <w:ind w:firstLine="425"/>
      </w:pPr>
      <w:r>
        <w:rPr>
          <w:rFonts w:ascii="Times New Roman" w:hAnsi="Times New Roman"/>
          <w:sz w:val="24"/>
        </w:rPr>
        <w:t>When industrial upgrading is added to the lnCE equation, its coefficient is significantly positive (1.491), while the SCCD and SCCD² coefficients remain statistically significant. This pattern is consistent with a transition-related restructuring dynamic. It is not evidence of an emission-reduction pathway. In the short run, upgrading involves fixed-asset investment, equipment renewal, construction of modern facilities, and the coexistence of old and new sectors. The estimates are consistent with the interpretation that industrial upgrading accompanies the transition process associated with multidimensional coordination, functioning as a stage-dependent restructuring pattern rather than as an immediate emission-reduction mechanism.</w:t>
      </w:r>
    </w:p>
    <w:p>
      <w:pPr>
        <w:ind w:firstLine="425"/>
      </w:pPr>
      <w:r>
        <w:rPr>
          <w:rFonts w:ascii="Times New Roman" w:hAnsi="Times New Roman"/>
          <w:sz w:val="24"/>
        </w:rPr>
        <w:t>When green technological innovation is added to the lnCE equation, its coefficient is also significantly positive (0.325), and the SCCD coefficients remain statistically significant. This provides suggestive restructuring evidence that green innovation may operate as another stage-dependent pathway. Yet green innovation does not automatically lower observed emissions in the short run. Research and development, testing, commercialization, and adoption all require capital and energy inputs. Efficiency gains may also be partly offset by rebound effects. The estimates are consistent with the interpretation that green innovation operates as another stage-dependent restructuring pattern, though the evidence remains observational and does not establish a decomposed pathway.</w:t>
      </w:r>
    </w:p>
    <w:p>
      <w:pPr>
        <w:ind w:firstLine="425"/>
      </w:pPr>
      <w:r>
        <w:rPr>
          <w:rFonts w:ascii="Times New Roman" w:hAnsi="Times New Roman"/>
          <w:sz w:val="24"/>
        </w:rPr>
        <w:t>Taken together, the restructuring-pattern results suggest that multidimensional coordination is associated with transition processes that unfold over time. Industrial upgrading and green innovation may improve long-run efficiency, but they can also raise short-run energy demand. The governance challenge is to shorten the adjustment period and limit rebound effects during structural transformation.</w:t>
      </w:r>
    </w:p>
    <w:p>
      <w:r>
        <w:rPr>
          <w:rFonts w:ascii="Times New Roman" w:hAnsi="Times New Roman"/>
          <w:b/>
          <w:sz w:val="26"/>
        </w:rPr>
        <w:t>5.5 Moderation and supplementary interaction checks</w:t>
      </w:r>
    </w:p>
    <w:p>
      <w:pPr>
        <w:jc w:val="center"/>
      </w:pPr>
      <w:r>
        <w:rPr>
          <w:rFonts w:ascii="Times New Roman" w:hAnsi="Times New Roman"/>
          <w:b/>
          <w:sz w:val="22"/>
        </w:rPr>
        <w:t>Table 7 reports moderation and supplementary interaction checks. The revised interpretation focuses on digital economy development as the only core moderator. POLY is retained as a supplementary check, but it is not treated as a supported moderator because its interaction terms are not statistically significant.</w:t>
      </w:r>
    </w:p>
    <w:p>
      <w:pPr>
        <w:jc w:val="center"/>
      </w:pPr>
      <w:r>
        <w:rPr>
          <w:rFonts w:ascii="Times New Roman" w:hAnsi="Times New Roman"/>
          <w:b/>
          <w:sz w:val="22"/>
        </w:rPr>
        <w:t>Table 7. Moderation and supplementary interaction results.</w:t>
      </w:r>
    </w:p>
    <w:p>
      <w:r>
        <w:rPr>
          <w:rFonts w:ascii="Times New Roman" w:hAnsi="Times New Roman"/>
          <w:i/>
          <w:color w:val="808080"/>
          <w:sz w:val="20"/>
        </w:rPr>
        <w:t>[Table 7 content preserved — see original]</w:t>
      </w:r>
    </w:p>
    <w:p>
      <w:pPr>
        <w:ind w:firstLine="425"/>
      </w:pPr>
      <w:r>
        <w:rPr>
          <w:rFonts w:ascii="Times New Roman" w:hAnsi="Times New Roman"/>
          <w:sz w:val="24"/>
        </w:rPr>
        <w:t>The interaction terms for digital economy development are statistically significant and support the revised H4. The coefficient on SCCD × DEI is significantly negative (−22.377), while the coefficient on SCCD² × DEI is significantly positive (21.644). This does not mean that DEI mechanically produces better emission outcomes. It means that DEI reduces the marginal emission cost associated with coordination and flattens the nonlinear curvature. Conditional calculations show turning points of 0.574, 0.583, and 0.587 at low, mean, and high DEI, respectively. The marginal effect of SCCD at the sample mean declines from 3.842 to 3.424 and 3.288 across the same DEI levels.</w:t>
      </w:r>
    </w:p>
    <w:p>
      <w:pPr>
        <w:ind w:firstLine="425"/>
      </w:pPr>
      <w:r>
        <w:rPr>
          <w:rFonts w:ascii="Times New Roman" w:hAnsi="Times New Roman"/>
          <w:sz w:val="24"/>
        </w:rPr>
        <w:t>Substantively, digital economy development changes how coordination translates into emissions. It can reduce coordination frictions, improve information matching, and support digitally mediated governance. The key implication is attenuation: digital capability weakens the marginal emission burden of coordination rather than simply moving cities more quickly to a low-emission stage.</w:t>
      </w:r>
    </w:p>
    <w:p>
      <w:pPr>
        <w:ind w:firstLine="425"/>
      </w:pPr>
      <w:r>
        <w:rPr>
          <w:rFonts w:ascii="Times New Roman" w:hAnsi="Times New Roman"/>
          <w:sz w:val="24"/>
        </w:rPr>
        <w:t>For polycentric urban structure, the interaction terms are statistically insignificant. POLY is therefore retained only as a supplementary interaction check, not as a supported moderator.</w:t>
      </w:r>
    </w:p>
    <w:p>
      <w:pPr>
        <w:ind w:firstLine="425"/>
      </w:pPr>
      <w:r>
        <w:rPr>
          <w:rFonts w:ascii="Times New Roman" w:hAnsi="Times New Roman"/>
          <w:sz w:val="24"/>
        </w:rPr>
        <w:t>Taken together, the moderation results show that digital capability is the clearest boundary condition in the updated evidence. This finding complements the baseline and restructuring-pattern results by showing that the environmental consequences of coordination depend on whether cities can translate digital capacity into lower coordination frictions and more efficient urban operation.</w:t>
      </w:r>
    </w:p>
    <w:p>
      <w:r>
        <w:rPr>
          <w:rFonts w:ascii="Times New Roman" w:hAnsi="Times New Roman"/>
          <w:b/>
          <w:sz w:val="28"/>
        </w:rPr>
        <w:t>6. Conclusions and policy implications</w:t>
      </w:r>
    </w:p>
    <w:p>
      <w:r>
        <w:rPr>
          <w:rFonts w:ascii="Times New Roman" w:hAnsi="Times New Roman"/>
          <w:b/>
          <w:sz w:val="26"/>
        </w:rPr>
        <w:t>6.1 Conclusions</w:t>
      </w:r>
    </w:p>
    <w:p>
      <w:pPr>
        <w:ind w:firstLine="425"/>
      </w:pPr>
      <w:r>
        <w:rPr>
          <w:rFonts w:ascii="Times New Roman" w:hAnsi="Times New Roman"/>
          <w:sz w:val="24"/>
        </w:rPr>
        <w:t>This study investigates how urban multidimensional spatial coupling coordination relates to carbon emissions in China under digital transformation. By extending the conventional production-living-ecological framework to include digital space as a fourth functional dimension and examining 284 prefecture-level cities over 2006–2024, the paper identifies a coordination paradox rooted in governance tradeoffs. Multidimensional coordination can reduce information frictions and improve allocation, but it can also intensify infrastructure expansion, industrial reorganization, and energy demand. Its environmental consequences therefore depend on transition stage and governance capacity.</w:t>
      </w:r>
    </w:p>
    <w:p>
      <w:pPr>
        <w:ind w:firstLine="425"/>
      </w:pPr>
      <w:r>
        <w:rPr>
          <w:rFonts w:ascii="Times New Roman" w:hAnsi="Times New Roman"/>
          <w:sz w:val="24"/>
        </w:rPr>
        <w:t>Three conclusions are central. First, SCCD exhibits a significant inverted U-shaped relationship with lnCE. The efficiency-oriented stage is not yet dominant for most cities, and expansion-oriented integration continues to shape their environmental trajectory. Second, the nonlinear pattern is robust to winsorization, the NTL urban-activity check, and supplementary IV estimation—though the IV evidence is interpreted cautiously as supplementary. Third, the evidence is consistent with the interpretation that industrial upgrading and green innovation function as stage-dependent restructuring patterns rather than as emission-reduction mechanisms. Digital economy development serves as the supported boundary condition, while POLY remains only a supplementary interaction check.</w:t>
      </w:r>
    </w:p>
    <w:p>
      <w:pPr>
        <w:ind w:firstLine="425"/>
      </w:pPr>
      <w:r>
        <w:rPr>
          <w:rFonts w:ascii="Times New Roman" w:hAnsi="Times New Roman"/>
          <w:sz w:val="24"/>
        </w:rPr>
        <w:t>The evidence does not imply that coordination automatically produces low-emission outcomes. The policy issue is governance sequencing. Cities below the turning point should avoid converting coordination into duplicated infrastructure and energy-intensive growth. Cities approaching the turning point should strengthen data-enabled governance, improve restructuring quality, and manage rebound risks. Cities already beyond the turning point should consolidate efficiency gains through institutional coordination, cross-sector data integration, and long-term monitoring.</w:t>
      </w:r>
    </w:p>
    <w:p>
      <w:r>
        <w:rPr>
          <w:rFonts w:ascii="Times New Roman" w:hAnsi="Times New Roman"/>
          <w:b/>
          <w:sz w:val="26"/>
        </w:rPr>
        <w:t>6.2 Policy implications</w:t>
      </w:r>
    </w:p>
    <w:p>
      <w:pPr>
        <w:ind w:firstLine="425"/>
      </w:pPr>
      <w:r>
        <w:rPr>
          <w:rFonts w:ascii="Times New Roman" w:hAnsi="Times New Roman"/>
          <w:sz w:val="24"/>
        </w:rPr>
        <w:t>First, urban low-carbon policy should prioritize governance quality rather than the simple expansion of coordinated systems. For cities still in the expansion-oriented stage, raising formal coordination indicators alone is insufficient. Policy should focus on interoperable data systems, digital public services, and intelligent governance tools that reduce the marginal emission cost of coordination across production, living, ecological, and digital spaces.</w:t>
      </w:r>
    </w:p>
    <w:p>
      <w:pPr>
        <w:ind w:firstLine="425"/>
      </w:pPr>
      <w:r>
        <w:rPr>
          <w:rFonts w:ascii="Times New Roman" w:hAnsi="Times New Roman"/>
          <w:sz w:val="24"/>
        </w:rPr>
        <w:t>Second, policy design should manage the transition costs associated with industrial upgrading and green innovation. These restructuring processes do not automatically reduce emissions in the short run. Cleaner energy substitution, green finance, performance-based evaluation, and tighter coordination between innovation policy and industrial policy are needed to prevent transition costs from becoming persistent emission burdens.</w:t>
      </w:r>
    </w:p>
    <w:p>
      <w:pPr>
        <w:ind w:firstLine="425"/>
      </w:pPr>
      <w:r>
        <w:rPr>
          <w:rFonts w:ascii="Times New Roman" w:hAnsi="Times New Roman"/>
          <w:sz w:val="24"/>
        </w:rPr>
        <w:t>Third, cities pursuing polycentric development should pay closer attention to cross-center connectivity. The current interaction estimates do not provide robust support for polycentricity as a moderator, but the theoretical risk remains clear. Dispersed centers can raise logistics costs, duplicate infrastructure, and weaken jobs-housing balance when cross-center links are incomplete. Polycentric planning should therefore be paired with integrated land use, transport systems, and digital coordination tools.</w:t>
      </w:r>
    </w:p>
    <w:p>
      <w:pPr>
        <w:ind w:firstLine="425"/>
      </w:pPr>
      <w:r>
        <w:rPr>
          <w:rFonts w:ascii="Times New Roman" w:hAnsi="Times New Roman"/>
          <w:sz w:val="24"/>
        </w:rPr>
        <w:t>Fourth, governance strategies should be differentiated across regions and development stages. Central China deserves particular attention because it faces stronger emission responsiveness to changes in SCCD. Eastern China is better positioned to explore advanced digitally enabled governance models. Western China should place greater emphasis on coupling ecological protection with basic public-service improvements. Across regions, the priority is to shift from expansion-oriented integration toward efficiency-oriented governance—a transition that depends on governance capacity, not merely on coordination levels.</w:t>
      </w:r>
    </w:p>
    <w:p>
      <w:r>
        <w:rPr>
          <w:rFonts w:ascii="Times New Roman" w:hAnsi="Times New Roman"/>
          <w:b/>
          <w:sz w:val="26"/>
        </w:rPr>
        <w:t>6.3 Limitations and future research</w:t>
      </w:r>
    </w:p>
    <w:p>
      <w:pPr>
        <w:ind w:firstLine="425"/>
      </w:pPr>
      <w:r>
        <w:rPr>
          <w:rFonts w:ascii="Times New Roman" w:hAnsi="Times New Roman"/>
          <w:sz w:val="24"/>
        </w:rPr>
        <w:t>Several limitations should be noted. First, although the SCCD index incorporates digital space into the production-living-ecological framework, the measurement of digital space is constrained by data availability. Key dimensions such as platform governance, data mobility, algorithmic coordination, and the quality of digital public services are not yet fully captured. Second, the empirical design includes fixed effects, robustness checks, and supplementary IV estimation. However, the analysis remains based on observational panel data and cannot eliminate all identification concerns. Third, the restructuring-pattern analysis focuses on industrial upgrading and green innovation, but other transition pathways—such as energy structure, green finance, or household behavioral change—may also shape emission outcomes.</w:t>
      </w:r>
    </w:p>
    <w:p>
      <w:pPr>
        <w:ind w:firstLine="425"/>
      </w:pPr>
      <w:r>
        <w:rPr>
          <w:rFonts w:ascii="Times New Roman" w:hAnsi="Times New Roman"/>
          <w:sz w:val="24"/>
        </w:rPr>
        <w:t>Future research may extend this framework in several directions. More refined measures of digital urban transformation could be introduced, especially those capturing platform governance, data flows, smart service coverage, and the quality of urban digital public goods. Dynamic restructuring deserves greater attention because the emission payoff of industrial upgrading and green innovation may emerge with long lags. Future work could also examine city-type heterogeneity, including resource-based cities, shrinking cities, and metropolitan areas with strong inter-city integration.</w:t>
      </w:r>
    </w:p>
    <w:p>
      <w:pPr>
        <w:ind w:firstLine="425"/>
      </w:pPr>
      <w:r>
        <w:rPr>
          <w:rFonts w:ascii="Times New Roman" w:hAnsi="Times New Roman"/>
          <w:sz w:val="24"/>
        </w:rPr>
        <w:t>References</w:t>
      </w:r>
    </w:p>
    <w:p>
      <w:r>
        <w:rPr>
          <w:rFonts w:ascii="Times New Roman" w:hAnsi="Times New Roman"/>
          <w:i/>
          <w:color w:val="808080"/>
          <w:sz w:val="20"/>
        </w:rPr>
        <w:t>[References preserved — see original]</w:t>
      </w:r>
    </w:p>
    <w:p>
      <w:pPr>
        <w:ind w:firstLine="425"/>
      </w:pPr>
      <w:r>
        <w:rPr>
          <w:rFonts w:ascii="Times New Roman" w:hAnsi="Times New Roman"/>
          <w:sz w:val="24"/>
        </w:rPr>
        <w:t>Appendix</w:t>
      </w:r>
    </w:p>
    <w:p>
      <w:pPr>
        <w:ind w:firstLine="425"/>
      </w:pPr>
      <w:r>
        <w:rPr>
          <w:rFonts w:ascii="Times New Roman" w:hAnsi="Times New Roman"/>
          <w:sz w:val="24"/>
        </w:rPr>
        <w:t>Appendix Table A1. Detailed SCCD indicator system after deleting one policy-term frequency indicator.</w:t>
      </w:r>
    </w:p>
    <w:p>
      <w:r>
        <w:rPr>
          <w:rFonts w:ascii="Times New Roman" w:hAnsi="Times New Roman"/>
          <w:i/>
          <w:color w:val="808080"/>
          <w:sz w:val="20"/>
        </w:rPr>
        <w:t>[Appendix content preserved — see original]</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eastAsia="宋体"/>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