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Aptos Display" w:hAnsi="Aptos Display" w:eastAsia="Aptos Display"/>
          <w:b/>
          <w:color w:val="183153"/>
          <w:sz w:val="44"/>
        </w:rPr>
        <w:t>1.1 Governance Overview</w:t>
      </w:r>
    </w:p>
    <w:p>
      <w:pPr>
        <w:spacing w:before="0" w:after="140" w:lineRule="auto" w:line="259"/>
      </w:pPr>
      <w:r>
        <w:rPr>
          <w:rFonts w:ascii="Aptos" w:hAnsi="Aptos" w:eastAsia="Aptos"/>
          <w:color w:val="1F2A37"/>
          <w:sz w:val="21"/>
        </w:rPr>
        <w:t>This governance framework establishes an operational reference model for organizations adopting structured oversight of compliance, risk, control performance, and AI-assisted workflows. The framework is designed for executive review, audit support, customer confidence, and institutional accountability. It is not an employee handbook, training manual, or generic policy library.</w:t>
      </w:r>
    </w:p>
    <w:p>
      <w:pPr>
        <w:spacing w:before="0" w:after="140" w:lineRule="auto" w:line="259"/>
      </w:pPr>
      <w:r>
        <w:rPr>
          <w:rFonts w:ascii="Aptos" w:hAnsi="Aptos" w:eastAsia="Aptos"/>
          <w:color w:val="1F2A37"/>
          <w:sz w:val="21"/>
        </w:rPr>
        <w:t>The governance model established by this binder treats governance as a decision system. Its purpose is to define how obligations are identified, how accountability is assigned, how material concerns are escalated, and how evidence is preserved. The model covers formal regulatory requirements as well as contractual commitments, customer representations, vendor dependencies, internal control expectations, and operational exposures created by technology-enabled processes.</w:t>
      </w:r>
    </w:p>
    <w:p>
      <w:pPr>
        <w:spacing w:before="0" w:after="140" w:lineRule="auto" w:line="259"/>
      </w:pPr>
      <w:r>
        <w:rPr>
          <w:rFonts w:ascii="Aptos" w:hAnsi="Aptos" w:eastAsia="Aptos"/>
          <w:color w:val="1F2A37"/>
          <w:sz w:val="21"/>
        </w:rPr>
        <w:t>The framework recognizes that organizational risk is rarely proportional to transaction volume, budget size, or process frequency. A low-volume workflow may create material exposure if it handles sensitive customer information, supports regulated reporting, or relies on an undocumented exception. A routine AI-assisted review may remain low risk when used for summarization, but become material when the output influences eligibility, prioritization, customer communication, or compliance determinations.</w:t>
      </w:r>
    </w:p>
    <w:p>
      <w:pPr>
        <w:spacing w:before="280" w:after="100"/>
      </w:pPr>
      <w:r>
        <w:rPr>
          <w:rFonts w:ascii="Aptos Display" w:hAnsi="Aptos Display" w:eastAsia="Aptos Display"/>
          <w:b/>
          <w:color w:val="183153"/>
          <w:sz w:val="26"/>
        </w:rPr>
        <w:t>Governance Objectives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Objective</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Governance Question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Operational Evidence</w:t>
            </w:r>
          </w:p>
        </w:tc>
        <w:tc>
          <w:tcPr>
            <w:tcW w:type="dxa" w:w="295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Realistic Tradeoff</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Accountable ownership</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Who can decide, accept, remediate, or escalate the matter?</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Role assignments, committee records, risk owner register, decision logs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Centralized authority improves consistency but can slow response when operational teams need immediate action.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clarity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regulatory, contractual, customer, internal, or accreditation expectations apply?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inventory, contract review notes, applicability analysis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Expansive tracking improves coverage but may obscure binding and time-sensitive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Control-to-exposure alignment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Are safeguards proportional to the actual risk created by the activity?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mapping, monitoring results, remediation records, sample testing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Standard controls are easier to administer; tailored controls better reflect operational asymmetry.</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Decision traceability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a reviewer understand why a decision was made at the time it was made?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Meeting minutes, approval artifacts, risk acceptance notes, exception rationale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Detailed records support audit defense but require disciplined documentation habits.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Material escalation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conditions require higher-level review before consequences expand?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Escalation thresholds, issue registers, incident summaries, executive briefing records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Early escalation protects the institution but can overwhelm governance forums if triggers are imprecise.</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reliability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trustworthy proof be produced without reconstructing activity after the fact?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Version-controlled artifacts, retained approvals, system reports, audit-ready evidence folders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Strong evidence routines improve credibility but must remain practical enough for teams to sustain.</w:t>
            </w:r>
          </w:p>
        </w:tc>
      </w:tr>
    </w:tbl>
    <w:p>
      <w:pPr>
        <w:spacing w:after="40"/>
      </w:pPr>
    </w:p>
    <w:p>
      <w:pPr>
        <w:spacing w:before="280" w:after="100"/>
      </w:pPr>
      <w:r>
        <w:rPr>
          <w:rFonts w:ascii="Aptos Display" w:hAnsi="Aptos Display" w:eastAsia="Aptos Display"/>
          <w:b/>
          <w:color w:val="183153"/>
          <w:sz w:val="26"/>
        </w:rPr>
        <w:t>Operational Rationale</w:t>
      </w:r>
    </w:p>
    <w:p>
      <w:pPr>
        <w:spacing w:before="0" w:after="140" w:lineRule="auto" w:line="259"/>
      </w:pPr>
      <w:r>
        <w:rPr>
          <w:rFonts w:ascii="Aptos" w:hAnsi="Aptos" w:eastAsia="Aptos"/>
          <w:color w:val="1F2A37"/>
          <w:sz w:val="21"/>
        </w:rPr>
        <w:t>The governance structure prevents important risks from being managed only by proximity. The team closest to a process is often best positioned to understand execution details, but not always positioned to assess enterprise exposure. A vendor manager may know whether a supplier is responsive, while legal or compliance functions may understand whether the supplier's failure affects a customer commitment. A product team may know why an AI-assisted workflow improves throughput, while risk leadership may need to determine whether the workflow changes decision accountability.</w:t>
      </w:r>
    </w:p>
    <w:p>
      <w:pPr>
        <w:spacing w:before="0" w:after="140" w:lineRule="auto" w:line="259"/>
      </w:pPr>
      <w:r>
        <w:rPr>
          <w:rFonts w:ascii="Aptos" w:hAnsi="Aptos" w:eastAsia="Aptos"/>
          <w:color w:val="1F2A37"/>
          <w:sz w:val="21"/>
        </w:rPr>
        <w:t>The framework therefore separates execution responsibility from oversight responsibility. Process owners manage daily performance. Control owners maintain specific safeguards. Risk or compliance functions evaluate exposure and evidence. Executive sponsors resolve questions involving tolerance, resources, reputational impact, or unresolved remediation.</w:t>
      </w:r>
    </w:p>
    <w:p>
      <w:pPr>
        <w:spacing w:before="0" w:after="140" w:lineRule="auto" w:line="259"/>
      </w:pPr>
      <w:r>
        <w:rPr>
          <w:rFonts w:ascii="Aptos" w:hAnsi="Aptos" w:eastAsia="Aptos"/>
          <w:color w:val="1F2A37"/>
          <w:sz w:val="21"/>
        </w:rPr>
        <w:t>This layered structure avoids ceremonial governance, where committees receive updates but make no decisions, and informal governance, where material issues are handled through personal relationships, scattered messages, and undocumented judgment calls. A functioning governance model requires decision rights, escalation thresholds, evidence standards, and review cadence to operate together.</w:t>
      </w:r>
    </w:p>
    <w:p>
      <w:pPr>
        <w:spacing w:before="280" w:after="100"/>
      </w:pPr>
      <w:r>
        <w:rPr>
          <w:rFonts w:ascii="Aptos Display" w:hAnsi="Aptos Display" w:eastAsia="Aptos Display"/>
          <w:b/>
          <w:color w:val="183153"/>
          <w:sz w:val="26"/>
        </w:rPr>
        <w:t>Governance Exposure Taxonomy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Exposure Category</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Distinguishing Feature</w:t>
            </w:r>
          </w:p>
        </w:tc>
        <w:tc>
          <w:tcPr>
            <w:tcW w:type="dxa" w:w="280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Primary Governance Concern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Failure Example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Binding obligation exposure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is tied to law, regulation, contract, certification, or customer attestation.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Misinterpretation or missed performance deadlines may create external consequences.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customer security questionnaire is approved without confirming whether the stated retention practice is implemented.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Customer-impacting workflow</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affects service delivery, eligibility, response timing, account treatment, or customer-facing statements.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Operational errors may become trust, complaint, or contract issues.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An AI-generated customer response is sent without review and inaccurately describes a compliance requirement.</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Sensitive data dependency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Personal, financial, health, credential, confidential, or regulated data is used in the workflow.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Access, retention, disclosure, or processing controls may be insufficient for the data class.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reporting file containing customer identifiers is stored in an unmanaged folder during reconciliation.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Third-party reliance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platform, subcontractor, or external data source supports an obligation.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Accountability may remain internal while execution control sits outside the organization.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cannot provide audit evidence before renewal, yet the relationship continues because no escalation point exists.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decision support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 output informs analysis, prioritization, drafting, classification, monitoring, or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Human accountability may become unclear when model output influences consequential action.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compliance queue is prioritized by an AI tool, causing high-risk items to be delayed because ranking logic was not reviewed.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integrity exposure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may be performed, but proof depends on informal records or individual memory.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Audit defense weakens when evidence lacks date, source, owner, or approval context.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control owner confirms completion from email history, but no retained artifact shows the reviewed population.</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Exception-based operation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relies on a temporary deviation, workaround, manual correction, or compensating control.</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Temporary risk may become normalized if expiration and review conditions are not enforced.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manual approval workaround remains active after system restoration, bypassing the original segregation control.</w:t>
            </w:r>
          </w:p>
        </w:tc>
      </w:tr>
    </w:tbl>
    <w:p>
      <w:pPr>
        <w:spacing w:after="40"/>
      </w:pPr>
    </w:p>
    <w:p>
      <w:pPr>
        <w:spacing w:before="280" w:after="100"/>
      </w:pPr>
      <w:r>
        <w:rPr>
          <w:rFonts w:ascii="Aptos Display" w:hAnsi="Aptos Display" w:eastAsia="Aptos Display"/>
          <w:b/>
          <w:color w:val="183153"/>
          <w:sz w:val="26"/>
        </w:rPr>
        <w:t>Escalation Logic Matrix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30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Condition Observed</w:t>
            </w:r>
          </w:p>
        </w:tc>
        <w:tc>
          <w:tcPr>
            <w:tcW w:type="dxa" w:w="252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Initial Handling</w:t>
            </w:r>
          </w:p>
        </w:tc>
        <w:tc>
          <w:tcPr>
            <w:tcW w:type="dxa" w:w="324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Escalation Trigger</w:t>
            </w:r>
          </w:p>
        </w:tc>
        <w:tc>
          <w:tcPr>
            <w:tcW w:type="dxa" w:w="259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Required Record</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Routine control variance with limited scope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Process owner documents cause and correction.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same variance recurs, affects a required control, or exceeds completion tolerance.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variance entry with closure date and accountable owner.</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Unclear obligation applicability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Compliance or risk function prepares an interpretation record.</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interpretation affects customer commitments, regulated activity, product design, or reporting duties.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Applicability memo citing source material, conclusion, and impacted processes.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dependency concern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Business owner coordinates with vendor management.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supplier cannot provide required evidence, misses a service commitment, or changes subcontracting.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issue record, requested remediation, and business impact assessment.</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workflow change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System or process owner classifies the use case.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output influences prioritization, eligibility, customer messaging, compliance review, or exception handling.</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Use-case review, approval conditions, monitoring plan, and assigned reviewer role.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gap discovered during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owner identifies the missing or unreliable artifact.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evidence cannot be reproduced, lacks source integrity, or conflicts with stated procedure.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deficiency note, replacement standard, and retrospective impact review.</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Potential customer, regulator, or accreditation impact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Responsible executive sponsor receives a concise exposure brief.</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on missed commitment, inaccurate representation, reportable event concern, or reputational sensitivity.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Executive decision record, communications plan, remediation owner, and timing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Accepted risk approaching expiration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owner verifies remediation progress and compensating control status.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remediation is incomplete, the compensating control failed, or business conditions changed.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acceptance renewal or closure record with revised rationale.</w:t>
            </w:r>
          </w:p>
        </w:tc>
      </w:tr>
    </w:tbl>
    <w:p>
      <w:pPr>
        <w:spacing w:after="40"/>
      </w:pPr>
    </w:p>
    <w:p>
      <w:pPr>
        <w:spacing w:before="280" w:after="100"/>
      </w:pPr>
      <w:r>
        <w:rPr>
          <w:rFonts w:ascii="Aptos Display" w:hAnsi="Aptos Display" w:eastAsia="Aptos Display"/>
          <w:b/>
          <w:color w:val="183153"/>
          <w:sz w:val="26"/>
        </w:rPr>
        <w:t>Organizational Risk Framing</w:t>
      </w:r>
    </w:p>
    <w:p>
      <w:pPr>
        <w:spacing w:before="0" w:after="140" w:lineRule="auto" w:line="259"/>
      </w:pPr>
      <w:r>
        <w:rPr>
          <w:rFonts w:ascii="Aptos" w:hAnsi="Aptos" w:eastAsia="Aptos"/>
          <w:color w:val="1F2A37"/>
          <w:sz w:val="21"/>
        </w:rPr>
        <w:t>The framework distinguishes operational inconvenience, control degradation, compliance exposure, and institutional exposure. An operational inconvenience disrupts work but does not materially impair an obligation or control. Control degradation weakens reliability and may become significant if repeated, undocumented, or tied to a critical process. Compliance exposure arises when an obligation may be missed, misstated, inconsistently applied, or inadequately evidenced. Institutional exposure exists when a matter may affect executive accountability, customer trust, regulatory posture, accreditation standing, contractual rights, or public credibility.</w:t>
      </w:r>
    </w:p>
    <w:p>
      <w:pPr>
        <w:spacing w:before="0" w:after="140" w:lineRule="auto" w:line="259"/>
      </w:pPr>
      <w:r>
        <w:rPr>
          <w:rFonts w:ascii="Aptos" w:hAnsi="Aptos" w:eastAsia="Aptos"/>
          <w:color w:val="1F2A37"/>
          <w:sz w:val="21"/>
        </w:rPr>
        <w:t>The same event may move between categories based on context. A delayed internal reconciliation may be an operational inconvenience if it affects only scheduling. It becomes compliance exposure if the reconciliation supports a required report. It becomes institutional exposure if the missed report contradicts a customer certification, triggers a contractual notice obligation, or appears in an external audit sample.</w:t>
      </w:r>
    </w:p>
    <w:p>
      <w:pPr>
        <w:spacing w:before="0" w:after="140" w:lineRule="auto" w:line="259"/>
      </w:pPr>
      <w:r>
        <w:rPr>
          <w:rFonts w:ascii="Aptos" w:hAnsi="Aptos" w:eastAsia="Aptos"/>
          <w:color w:val="1F2A37"/>
          <w:sz w:val="21"/>
        </w:rPr>
        <w:t>AI-assisted workflows require similar contextual treatment. A tool used to summarize meeting notes may require basic data handling controls. A tool used to classify complaints, prioritize investigations, draft customer notices, or recommend eligibility outcomes requires stronger governance because the organization may rely on the output in a consequential process.</w:t>
      </w:r>
    </w:p>
    <w:p>
      <w:pPr>
        <w:spacing w:before="280" w:after="100"/>
      </w:pPr>
      <w:r>
        <w:rPr>
          <w:rFonts w:ascii="Aptos Display" w:hAnsi="Aptos Display" w:eastAsia="Aptos Display"/>
          <w:b/>
          <w:color w:val="183153"/>
          <w:sz w:val="26"/>
        </w:rPr>
        <w:t>Governance Failure Modes</w:t>
      </w:r>
    </w:p>
    <w:p>
      <w:pPr>
        <w:pStyle w:val="ListBullet"/>
        <w:spacing w:after="100" w:lineRule="auto" w:line="250"/>
        <w:ind w:left="360" w:hanging="216"/>
      </w:pPr>
      <w:r>
        <w:rPr>
          <w:rFonts w:ascii="Aptos" w:hAnsi="Aptos" w:eastAsia="Aptos"/>
          <w:b/>
          <w:color w:val="1F2A37"/>
          <w:sz w:val="20"/>
        </w:rPr>
        <w:t xml:space="preserve">Silent ownership transfer. </w:t>
      </w:r>
      <w:r>
        <w:rPr>
          <w:rFonts w:ascii="Aptos" w:hAnsi="Aptos" w:eastAsia="Aptos"/>
          <w:color w:val="1F2A37"/>
          <w:sz w:val="20"/>
        </w:rPr>
        <w:t>A process migrates during growth, restructuring, or system implementation, but the governance record is not updated. The control appears assigned while no accountable owner is actively maintaining it.</w:t>
      </w:r>
    </w:p>
    <w:p>
      <w:pPr>
        <w:pStyle w:val="ListBullet"/>
        <w:spacing w:after="100" w:lineRule="auto" w:line="250"/>
        <w:ind w:left="360" w:hanging="216"/>
      </w:pPr>
      <w:r>
        <w:rPr>
          <w:rFonts w:ascii="Aptos" w:hAnsi="Aptos" w:eastAsia="Aptos"/>
          <w:b/>
          <w:color w:val="1F2A37"/>
          <w:sz w:val="20"/>
        </w:rPr>
        <w:t xml:space="preserve">Evidence reconstruction. </w:t>
      </w:r>
      <w:r>
        <w:rPr>
          <w:rFonts w:ascii="Aptos" w:hAnsi="Aptos" w:eastAsia="Aptos"/>
          <w:color w:val="1F2A37"/>
          <w:sz w:val="20"/>
        </w:rPr>
        <w:t>Work is completed informally and documented only after an audit request, customer inquiry, or executive review. The activity may have occurred, but contemporaneous approval cannot be demonstrated.</w:t>
      </w:r>
    </w:p>
    <w:p>
      <w:pPr>
        <w:pStyle w:val="ListBullet"/>
        <w:spacing w:after="100" w:lineRule="auto" w:line="250"/>
        <w:ind w:left="360" w:hanging="216"/>
      </w:pPr>
      <w:r>
        <w:rPr>
          <w:rFonts w:ascii="Aptos" w:hAnsi="Aptos" w:eastAsia="Aptos"/>
          <w:b/>
          <w:color w:val="1F2A37"/>
          <w:sz w:val="20"/>
        </w:rPr>
        <w:t xml:space="preserve">Policy-control mismatch. </w:t>
      </w:r>
      <w:r>
        <w:rPr>
          <w:rFonts w:ascii="Aptos" w:hAnsi="Aptos" w:eastAsia="Aptos"/>
          <w:color w:val="1F2A37"/>
          <w:sz w:val="20"/>
        </w:rPr>
        <w:t>A policy states that review, approval, or monitoring occurs, but no workflow, system queue, calendar owner, or evidence location supports the requirement.</w:t>
      </w:r>
    </w:p>
    <w:p>
      <w:pPr>
        <w:pStyle w:val="ListBullet"/>
        <w:spacing w:after="100" w:lineRule="auto" w:line="250"/>
        <w:ind w:left="360" w:hanging="216"/>
      </w:pPr>
      <w:r>
        <w:rPr>
          <w:rFonts w:ascii="Aptos" w:hAnsi="Aptos" w:eastAsia="Aptos"/>
          <w:b/>
          <w:color w:val="1F2A37"/>
          <w:sz w:val="20"/>
        </w:rPr>
        <w:t xml:space="preserve">Escalation by personality. </w:t>
      </w:r>
      <w:r>
        <w:rPr>
          <w:rFonts w:ascii="Aptos" w:hAnsi="Aptos" w:eastAsia="Aptos"/>
          <w:color w:val="1F2A37"/>
          <w:sz w:val="20"/>
        </w:rPr>
        <w:t>Material concerns reach leadership only when a particular employee decides to raise them. Similar issues receive inconsistent treatment because escalation depends on judgment style rather than defined thresholds.</w:t>
      </w:r>
    </w:p>
    <w:p>
      <w:pPr>
        <w:pStyle w:val="ListBullet"/>
        <w:spacing w:after="100" w:lineRule="auto" w:line="250"/>
        <w:ind w:left="360" w:hanging="216"/>
      </w:pPr>
      <w:r>
        <w:rPr>
          <w:rFonts w:ascii="Aptos" w:hAnsi="Aptos" w:eastAsia="Aptos"/>
          <w:b/>
          <w:color w:val="1F2A37"/>
          <w:sz w:val="20"/>
        </w:rPr>
        <w:t xml:space="preserve">Vendor assumption risk. </w:t>
      </w:r>
      <w:r>
        <w:rPr>
          <w:rFonts w:ascii="Aptos" w:hAnsi="Aptos" w:eastAsia="Aptos"/>
          <w:color w:val="1F2A37"/>
          <w:sz w:val="20"/>
        </w:rPr>
        <w:t>A vendor is treated as compliant because it is well known, contractually approved, or previously reviewed. Without current evidence and obligation flow-down, inherited exposure remains unverified.</w:t>
      </w:r>
    </w:p>
    <w:p>
      <w:pPr>
        <w:pStyle w:val="ListBullet"/>
        <w:spacing w:after="100" w:lineRule="auto" w:line="250"/>
        <w:ind w:left="360" w:hanging="216"/>
      </w:pPr>
      <w:r>
        <w:rPr>
          <w:rFonts w:ascii="Aptos" w:hAnsi="Aptos" w:eastAsia="Aptos"/>
          <w:b/>
          <w:color w:val="1F2A37"/>
          <w:sz w:val="20"/>
        </w:rPr>
        <w:t xml:space="preserve">Exception normalization. </w:t>
      </w:r>
      <w:r>
        <w:rPr>
          <w:rFonts w:ascii="Aptos" w:hAnsi="Aptos" w:eastAsia="Aptos"/>
          <w:color w:val="1F2A37"/>
          <w:sz w:val="20"/>
        </w:rPr>
        <w:t>Temporary deviations remain open after the original constraint has passed. Over time, the exception becomes the operating process without renewed approval or compensating control review.</w:t>
      </w:r>
    </w:p>
    <w:p>
      <w:pPr>
        <w:pStyle w:val="ListBullet"/>
        <w:spacing w:after="100" w:lineRule="auto" w:line="250"/>
        <w:ind w:left="360" w:hanging="216"/>
      </w:pPr>
      <w:r>
        <w:rPr>
          <w:rFonts w:ascii="Aptos" w:hAnsi="Aptos" w:eastAsia="Aptos"/>
          <w:b/>
          <w:color w:val="1F2A37"/>
          <w:sz w:val="20"/>
        </w:rPr>
        <w:t xml:space="preserve">AI accountability dilution. </w:t>
      </w:r>
      <w:r>
        <w:rPr>
          <w:rFonts w:ascii="Aptos" w:hAnsi="Aptos" w:eastAsia="Aptos"/>
          <w:color w:val="1F2A37"/>
          <w:sz w:val="20"/>
        </w:rPr>
        <w:t>A workflow relies on AI-generated output while decision ownership remains informal. When an error occurs, no record shows who reviewed the output, what limitations were considered, or why the final decision was accepted.</w:t>
      </w:r>
    </w:p>
    <w:p>
      <w:pPr>
        <w:spacing w:before="280" w:after="100"/>
      </w:pPr>
      <w:r>
        <w:rPr>
          <w:rFonts w:ascii="Aptos Display" w:hAnsi="Aptos Display" w:eastAsia="Aptos Display"/>
          <w:b/>
          <w:color w:val="183153"/>
          <w:sz w:val="26"/>
        </w:rPr>
        <w:t>Governance Standard</w:t>
      </w:r>
    </w:p>
    <w:p>
      <w:pPr>
        <w:spacing w:before="0" w:after="140" w:lineRule="auto" w:line="259"/>
      </w:pPr>
      <w:r>
        <w:rPr>
          <w:rFonts w:ascii="Aptos" w:hAnsi="Aptos" w:eastAsia="Aptos"/>
          <w:color w:val="1F2A37"/>
          <w:sz w:val="21"/>
        </w:rPr>
        <w:t>The governance standard established by this binder is that material compliance and operational risk decisions must be owned, reasoned, evidenced, and reviewable. The standard does not require executive approval for every operational choice. It requires the level of oversight to match the exposure created by the activity.</w:t>
      </w:r>
    </w:p>
    <w:p>
      <w:pPr>
        <w:spacing w:before="0" w:after="140" w:lineRule="auto" w:line="259"/>
      </w:pPr>
      <w:r>
        <w:rPr>
          <w:rFonts w:ascii="Aptos" w:hAnsi="Aptos" w:eastAsia="Aptos"/>
          <w:color w:val="1F2A37"/>
          <w:sz w:val="21"/>
        </w:rPr>
        <w:t>Organizations implementing this framework retain flexibility in structure, staffing, and cadence. The essential requirement is that governance activity be real enough to operate under pressure: accountable parties can be identified, escalation logic can be applied consistently, and evidence can be produced without reconstructing history.</w:t>
      </w:r>
    </w:p>
    <w:p>
      <w:pPr>
        <w:spacing w:before="0" w:after="0" w:lineRule="auto" w:line="259"/>
      </w:pPr>
      <w:r>
        <w:rPr>
          <w:rFonts w:ascii="Aptos" w:hAnsi="Aptos" w:eastAsia="Aptos"/>
          <w:color w:val="1F2A37"/>
          <w:sz w:val="21"/>
        </w:rPr>
        <w:t>A mature implementation is measured not by the volume of documentation, but by the organization's ability to demonstrate how significant obligations are managed, how exceptions are controlled, how AI-assisted workflows remain accountable, and how material risks are brought to the appropriate decision forum before they become institutional failures.</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4B5563"/>
        <w:sz w:val="16"/>
      </w:rPr>
      <w:t>Paladin Compliance Governance Binder | Section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Governance Overview</dc:title>
  <dc:subject>Paladin Compliance Governance Binder</dc:subject>
  <dc:creator>Paladin Compliance</dc:creator>
  <cp:keywords>governance, compliance, risk, oversight,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