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1.2 Governance Operating Model</w:t>
      </w:r>
    </w:p>
    <w:p>
      <w:pPr>
        <w:spacing w:before="0" w:after="140" w:lineRule="auto" w:line="259"/>
      </w:pPr>
      <w:r>
        <w:rPr>
          <w:rFonts w:ascii="Aptos" w:hAnsi="Aptos" w:eastAsia="Aptos"/>
          <w:b w:val="0"/>
          <w:color w:val="1F2A37"/>
          <w:sz w:val="20"/>
        </w:rPr>
        <w:t>The governance operating model defines how the framework moves through an organization once governance has been established as a decision system. It translates exposure-based oversight into operating roles, forums, evidence flows, escalation pathways, and review rhythms. The model is intended to preserve accountability while allowing operational teams to continue managing daily execution.</w:t>
      </w:r>
    </w:p>
    <w:p>
      <w:pPr>
        <w:spacing w:before="0" w:after="140" w:lineRule="auto" w:line="259"/>
      </w:pPr>
      <w:r>
        <w:rPr>
          <w:rFonts w:ascii="Aptos" w:hAnsi="Aptos" w:eastAsia="Aptos"/>
          <w:b w:val="0"/>
          <w:color w:val="1F2A37"/>
          <w:sz w:val="20"/>
        </w:rPr>
        <w:t>Organizations implementing this framework typically encounter governance risk at the boundaries between teams. A control owner may understand execution timing while remaining unaware that delayed completion affects a contractual attestation deadline. A product owner may understand workflow intent while missing how an AI-assisted routing change alters decision accountability. A vendor manager may track service performance without knowing that missing evidence weakens an accreditation package.</w:t>
      </w:r>
    </w:p>
    <w:p>
      <w:pPr>
        <w:spacing w:before="0" w:after="140" w:lineRule="auto" w:line="259"/>
      </w:pPr>
      <w:r>
        <w:rPr>
          <w:rFonts w:ascii="Aptos" w:hAnsi="Aptos" w:eastAsia="Aptos"/>
          <w:b w:val="0"/>
          <w:color w:val="1F2A37"/>
          <w:sz w:val="20"/>
        </w:rPr>
        <w:t>The operating model therefore separates operational execution from governance authority without disconnecting them. Execution remains close to the work. Oversight functions evaluate obligation impact, control reliability, evidence quality, and escalation need. Executive forums are reserved for matters involving risk tolerance, resource conflict, external exposure, or unresolved remediation. This structure keeps governance operational rather than ceremonial.</w:t>
      </w:r>
    </w:p>
    <w:p>
      <w:pPr>
        <w:keepNext/>
        <w:spacing w:before="280" w:after="100"/>
      </w:pPr>
      <w:r>
        <w:rPr>
          <w:rFonts w:ascii="Aptos Display" w:hAnsi="Aptos Display" w:eastAsia="Aptos Display"/>
          <w:b/>
          <w:color w:val="183153"/>
          <w:sz w:val="26"/>
        </w:rPr>
        <w:t>Operating Principles</w:t>
      </w:r>
    </w:p>
    <w:p>
      <w:pPr>
        <w:pStyle w:val="ListBullet"/>
        <w:spacing w:after="100" w:lineRule="auto" w:line="250"/>
        <w:ind w:left="360" w:hanging="216"/>
      </w:pPr>
      <w:r>
        <w:rPr>
          <w:rFonts w:ascii="Aptos" w:hAnsi="Aptos" w:eastAsia="Aptos"/>
          <w:b/>
          <w:color w:val="1F2A37"/>
          <w:sz w:val="20"/>
        </w:rPr>
        <w:t xml:space="preserve">Governance follows exposure, not organizational rank. </w:t>
      </w:r>
      <w:r>
        <w:rPr>
          <w:rFonts w:ascii="Aptos" w:hAnsi="Aptos" w:eastAsia="Aptos"/>
          <w:b w:val="0"/>
          <w:color w:val="1F2A37"/>
          <w:sz w:val="20"/>
        </w:rPr>
        <w:t>A low-level workflow can require senior attention when it affects regulated reporting, customer commitments, sensitive data, or AI-supported decisions.</w:t>
      </w:r>
    </w:p>
    <w:p>
      <w:pPr>
        <w:pStyle w:val="ListBullet"/>
        <w:spacing w:after="100" w:lineRule="auto" w:line="250"/>
        <w:ind w:left="360" w:hanging="216"/>
      </w:pPr>
      <w:r>
        <w:rPr>
          <w:rFonts w:ascii="Aptos" w:hAnsi="Aptos" w:eastAsia="Aptos"/>
          <w:b/>
          <w:color w:val="1F2A37"/>
          <w:sz w:val="20"/>
        </w:rPr>
        <w:t xml:space="preserve">Authority is explicit at the point of decision. </w:t>
      </w:r>
      <w:r>
        <w:rPr>
          <w:rFonts w:ascii="Aptos" w:hAnsi="Aptos" w:eastAsia="Aptos"/>
          <w:b w:val="0"/>
          <w:color w:val="1F2A37"/>
          <w:sz w:val="20"/>
        </w:rPr>
        <w:t>The model distinguishes who performs work, who owns the control, who interprets the obligation, and who can accept residual risk.</w:t>
      </w:r>
    </w:p>
    <w:p>
      <w:pPr>
        <w:pStyle w:val="ListBullet"/>
        <w:spacing w:after="100" w:lineRule="auto" w:line="250"/>
        <w:ind w:left="360" w:hanging="216"/>
      </w:pPr>
      <w:r>
        <w:rPr>
          <w:rFonts w:ascii="Aptos" w:hAnsi="Aptos" w:eastAsia="Aptos"/>
          <w:b/>
          <w:color w:val="1F2A37"/>
          <w:sz w:val="20"/>
        </w:rPr>
        <w:t xml:space="preserve">Evidence moves with accountability. </w:t>
      </w:r>
      <w:r>
        <w:rPr>
          <w:rFonts w:ascii="Aptos" w:hAnsi="Aptos" w:eastAsia="Aptos"/>
          <w:b w:val="0"/>
          <w:color w:val="1F2A37"/>
          <w:sz w:val="20"/>
        </w:rPr>
        <w:t>A completed task without retained proof does not provide the same assurance as a task supported by source records, approval context, and review traceability.</w:t>
      </w:r>
    </w:p>
    <w:p>
      <w:pPr>
        <w:pStyle w:val="ListBullet"/>
        <w:spacing w:after="100" w:lineRule="auto" w:line="250"/>
        <w:ind w:left="360" w:hanging="216"/>
      </w:pPr>
      <w:r>
        <w:rPr>
          <w:rFonts w:ascii="Aptos" w:hAnsi="Aptos" w:eastAsia="Aptos"/>
          <w:b/>
          <w:color w:val="1F2A37"/>
          <w:sz w:val="20"/>
        </w:rPr>
        <w:t xml:space="preserve">Escalation is routed by consequence. </w:t>
      </w:r>
      <w:r>
        <w:rPr>
          <w:rFonts w:ascii="Aptos" w:hAnsi="Aptos" w:eastAsia="Aptos"/>
          <w:b w:val="0"/>
          <w:color w:val="1F2A37"/>
          <w:sz w:val="20"/>
        </w:rPr>
        <w:t>Operational delays, control failures, vendor gaps, and customer-facing inaccuracies travel through different paths because they create different institutional exposure.</w:t>
      </w:r>
    </w:p>
    <w:p>
      <w:pPr>
        <w:keepNext/>
        <w:spacing w:before="280" w:after="100"/>
      </w:pPr>
      <w:r>
        <w:rPr>
          <w:rFonts w:ascii="Aptos Display" w:hAnsi="Aptos Display" w:eastAsia="Aptos Display"/>
          <w:b/>
          <w:color w:val="183153"/>
          <w:sz w:val="26"/>
        </w:rPr>
        <w:t>Governance Role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 Layer</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Domain</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Contribution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daily execution, workflow timing, staffing, and local procedure adherence.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Confirms work was performed, explains variance, and corrects ordinary process defects.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miss downstream exposure when a routine task feeds a certification, customer report, or regulatory file.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reconciliation owner delays review during a staffing shortage, unaware the output supports a monthly customer attestation.</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Owns the design and operating reliability of a specific safeguard.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Defines control criteria, reviews exceptions, and maintains evidence expectations.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isolated from process changes if system owners alter inputs, timing, or populations without notice.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control remains quarterly, but a new privileged support group is never added to the review population.</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obligations, coordinates oversight, tests evidence sufficiency, and routes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Connects process performance to regulatory, contractual, accreditation, or customer-facing commitments.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become a bottleneck if every low-risk operational variance is routed through central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team spends governance forum time approving minor deadline extensions while a vendor evidence failure remains unresolved.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Balances operational goals, customer commitments, resourcing, and accepted exposure.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Resolves priority conflicts and ensures remediation has sufficient authority and funding.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a business path without recognizing control debt if risk information is incomplete.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new service launch is approved before ownership is assigned for monitoring AI-assisted complaint triage.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body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material exposure and resolves matters with institutional consequence.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Reviews unresolved risk, material exceptions, external impact, and significant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Overuse turns executive review into a status meeting; underuse leaves high-consequence decisions buried in operations.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customer-impacting reporting error is handled locally until leadership must explain delayed review.</w:t>
            </w:r>
          </w:p>
        </w:tc>
      </w:tr>
    </w:tbl>
    <w:p>
      <w:pPr>
        <w:spacing w:after="40"/>
      </w:pPr>
    </w:p>
    <w:p>
      <w:pPr>
        <w:keepNext/>
        <w:spacing w:before="280" w:after="100"/>
      </w:pPr>
      <w:r>
        <w:rPr>
          <w:rFonts w:ascii="Aptos Display" w:hAnsi="Aptos Display" w:eastAsia="Aptos Display"/>
          <w:b/>
          <w:color w:val="183153"/>
          <w:sz w:val="26"/>
        </w:rPr>
        <w:t>Operational Accountability Architecture</w:t>
      </w:r>
    </w:p>
    <w:p>
      <w:pPr>
        <w:spacing w:before="0" w:after="140" w:lineRule="auto" w:line="259"/>
      </w:pPr>
      <w:r>
        <w:rPr>
          <w:rFonts w:ascii="Aptos" w:hAnsi="Aptos" w:eastAsia="Aptos"/>
          <w:b w:val="0"/>
          <w:color w:val="1F2A37"/>
          <w:sz w:val="20"/>
        </w:rPr>
        <w:t>The operating model uses layered accountability to prevent a single function from becoming both performer and reviewer of the same governance matter. Operational accountability remains with the team performing the work. Control accountability rests with the owner of the safeguard. Governance accountability sits with the function responsible for obligation interpretation, escalation routing, and evidence sufficiency. Executive accountability applies when decisions require tolerance setting, prioritization across business objectives, or acceptance of residual institutional exposure.</w:t>
      </w:r>
    </w:p>
    <w:p>
      <w:pPr>
        <w:spacing w:before="0" w:after="140" w:lineRule="auto" w:line="259"/>
      </w:pPr>
      <w:r>
        <w:rPr>
          <w:rFonts w:ascii="Aptos" w:hAnsi="Aptos" w:eastAsia="Aptos"/>
          <w:b w:val="0"/>
          <w:color w:val="1F2A37"/>
          <w:sz w:val="20"/>
        </w:rPr>
        <w:t>This architecture is deliberately asymmetric. The same person may manage a workflow and provide evidence, but should not independently determine that a material control failure is acceptable. A governance function may assess evidence reliability, but it does not typically own the operational resources needed to remediate a process. Executive sponsors may approve tolerance, but they rely on operational and governance layers to present the exposure with enough specificity to support a defensible decision.</w:t>
      </w:r>
    </w:p>
    <w:p>
      <w:pPr>
        <w:keepNext/>
        <w:spacing w:before="280" w:after="100"/>
      </w:pPr>
      <w:r>
        <w:rPr>
          <w:rFonts w:ascii="Aptos Display" w:hAnsi="Aptos Display" w:eastAsia="Aptos Display"/>
          <w:b/>
          <w:color w:val="183153"/>
          <w:sz w:val="26"/>
        </w:rPr>
        <w:t>Governance Ownership Matrix</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1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Governed Activity</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Process Owner</w:t>
            </w:r>
          </w:p>
        </w:tc>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Owner</w:t>
            </w:r>
          </w:p>
        </w:tc>
        <w:tc>
          <w:tcPr>
            <w:tcW w:type="dxa" w:w="191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Function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Sponsor</w:t>
            </w:r>
          </w:p>
        </w:tc>
        <w:tc>
          <w:tcPr>
            <w:tcW w:type="dxa" w:w="182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Flow</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Obligation intake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business activity, affected systems, and operational owner.</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whether existing controls cover the obligation.</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Interprets applicability and records source authority.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Engages when obligation changes business strategy, customer commitments, or external reporting.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Applicability record, obligation mapping, affected-process list.</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operation</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Performs the workflow and retains source evidence.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Defines completion criteria and reviews exceptions.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Samples evidence for sufficiency and monitors recurring variance.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Briefed when control degradation threatens material commitments.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log, exception record, population sample, completion evidence.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workflow use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Describes use case, input data, output use, and human review point.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Maps safeguards to decision impact and data sensitivity.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Classifies governance tier and sets review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Approves or rejects use when output affects customers, eligibility, reporting, or complaint handling.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Use-case record, risk tier, approval conditions, monitoring results.</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dependency</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Maintains relationship context, service need, and operational fallback.</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controls relying on vendor evidence or performance.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Reviews flow-down obligations and unresolved assurance gaps.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Decides continuation, remediation pressure, or exit planning for material vendor failure.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issue record, contract clause reference, evidence request, escalation note.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Documents business constraint and interim operating method.</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compensating control design and expiry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Tests rationale against obligation impact and evidence reliability.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Accepts residual exposure only when consequence, duration, and owner are explicit.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 memo, expiry date, compensating control evidence, renewal decision.</w:t>
            </w:r>
          </w:p>
        </w:tc>
      </w:tr>
    </w:tbl>
    <w:p>
      <w:pPr>
        <w:spacing w:after="40"/>
      </w:pPr>
    </w:p>
    <w:p>
      <w:pPr>
        <w:keepNext/>
        <w:spacing w:before="280" w:after="100"/>
      </w:pPr>
      <w:r>
        <w:rPr>
          <w:rFonts w:ascii="Aptos Display" w:hAnsi="Aptos Display" w:eastAsia="Aptos Display"/>
          <w:b/>
          <w:color w:val="183153"/>
          <w:sz w:val="26"/>
        </w:rPr>
        <w:t>Governance Coordination Model</w:t>
      </w:r>
    </w:p>
    <w:p>
      <w:pPr>
        <w:spacing w:before="0" w:after="140" w:lineRule="auto" w:line="259"/>
      </w:pPr>
      <w:r>
        <w:rPr>
          <w:rFonts w:ascii="Aptos" w:hAnsi="Aptos" w:eastAsia="Aptos"/>
          <w:b w:val="0"/>
          <w:color w:val="1F2A37"/>
          <w:sz w:val="20"/>
        </w:rPr>
        <w:t>Governance coordination occurs through structured handoffs rather than broad informational circulation. The model favors concise decision records, defined intake criteria, and named owners over open-ended meeting attendance. Cross-functional coordination is most important when one team controls execution while another team carries the external consequence.</w:t>
      </w:r>
    </w:p>
    <w:p>
      <w:pPr>
        <w:spacing w:before="0" w:after="140" w:lineRule="auto" w:line="259"/>
      </w:pPr>
      <w:r>
        <w:rPr>
          <w:rFonts w:ascii="Aptos" w:hAnsi="Aptos" w:eastAsia="Aptos"/>
          <w:b w:val="0"/>
          <w:color w:val="1F2A37"/>
          <w:sz w:val="20"/>
        </w:rPr>
        <w:t>Examples include a finance-owned reconciliation that supports a compliance attestation, a product change that alters customer disclosures, a security control that affects contractual audit rights, or a vendor workflow that determines whether evidence can be produced during accreditation review. In each case, governance coordination must connect the operational fact pattern to the obligation affected by that fact pattern.</w:t>
      </w:r>
    </w:p>
    <w:p>
      <w:pPr>
        <w:keepNext/>
        <w:spacing w:before="280" w:after="100"/>
      </w:pPr>
      <w:r>
        <w:rPr>
          <w:rFonts w:ascii="Aptos Display" w:hAnsi="Aptos Display" w:eastAsia="Aptos Display"/>
          <w:b/>
          <w:color w:val="183153"/>
          <w:sz w:val="26"/>
        </w:rPr>
        <w:t>Coordination Pathways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Pathway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When It Activates</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Participants</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49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Failure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Process-to-control handoff</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results show missed timing, incomplete population, or altered workflow inputs.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control owner, system owner when applicable.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variance is operational cleanup or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teams fix symptoms while the control owner remains unaware the control no longer operates as designed.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Control-to-governance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pattern suggests obligation impact, evidence fragility, or recurring control weakness.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compliance or risk lead, evidence steward.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set remediation expectation, and decide whether escalation is required.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function receives raw status updates but no decision-ready account of consequence or ownership.</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Governance-to-executive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involves customer commitments, regulator sensitivity, unresolved remediation, or risk acceptance.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lead, executive sponsor, affected business owner, legal where needed.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Obtain a decision on tolerance, resource allocation, external communication, or stop-go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Executives receive late notice after operational teams have already narrowed available response options.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Vendor-to-institutional dependency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performance or evidence failure threatens a control, report, certification, or customer obligation.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vendor management, compliance, procurement or legal as needed.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Decide remediation pressure, compensating control, contract enforcement, or contingency action.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issues stay in relationship management channels while institutional commitments remain exposed.</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begins influencing triage, prioritization, drafting, classification, or customer-facing decisions.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system owner, governance function, data or security representative.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human review, acceptable use boundary, monitoring signal, and evidence of approval.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Efficiency gains are captured immediately while accountability for model-influenced outcomes remains undefined.</w:t>
            </w:r>
          </w:p>
        </w:tc>
      </w:tr>
    </w:tbl>
    <w:p>
      <w:pPr>
        <w:spacing w:after="40"/>
      </w:pPr>
    </w:p>
    <w:p>
      <w:pPr>
        <w:keepNext/>
        <w:spacing w:before="280" w:after="100"/>
      </w:pPr>
      <w:r>
        <w:rPr>
          <w:rFonts w:ascii="Aptos Display" w:hAnsi="Aptos Display" w:eastAsia="Aptos Display"/>
          <w:b/>
          <w:color w:val="183153"/>
          <w:sz w:val="26"/>
        </w:rPr>
        <w:t>Escalation Routing Concepts</w:t>
      </w:r>
    </w:p>
    <w:p>
      <w:pPr>
        <w:spacing w:before="0" w:after="140" w:lineRule="auto" w:line="259"/>
      </w:pPr>
      <w:r>
        <w:rPr>
          <w:rFonts w:ascii="Aptos" w:hAnsi="Aptos" w:eastAsia="Aptos"/>
          <w:b w:val="0"/>
          <w:color w:val="1F2A37"/>
          <w:sz w:val="20"/>
        </w:rPr>
        <w:t>Escalation under this operating model is not a single upward channel. Routing depends on the type of exposure and the decision needed. A missed internal deadline may remain with the process owner. The same delay routes to governance review when it affects evidence reliability, and to executive review when it threatens an external commitment. AI-assisted workflows follow the same logic: experimentation, administrative drafting, and consequential decision support do not carry the same escalation requirement.</w:t>
      </w:r>
    </w:p>
    <w:p>
      <w:pPr>
        <w:keepNext/>
        <w:spacing w:before="280" w:after="100"/>
      </w:pPr>
      <w:r>
        <w:rPr>
          <w:rFonts w:ascii="Aptos Display" w:hAnsi="Aptos Display" w:eastAsia="Aptos Display"/>
          <w:b/>
          <w:color w:val="183153"/>
          <w:sz w:val="26"/>
        </w:rPr>
        <w:t>Differentiated Escalation Routes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8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Type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Observed Condition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Path</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Required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variance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delay, isolated execution error, or local procedure deviation.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with control owner notice if a control is affected.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Corrective action and closure within tolerance.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Treating every variance as enterprise risk can desensitize governance forums and slow routine recovery.</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exception, missing population, altered system input, or unreliable review evidence.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to governance function.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Root-cause review, remediation owner, sample testing, and escalation decision.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Leaving degraded controls local may allow a known weakness to appear as an isolated operational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uncertainty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Unclear applicability, conflicting contractual language, or ambiguous customer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legal, compliance leadership, or designated interpretation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 conclusion with affected processes and evidence requirements.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Proceeding before interpretation may lock the organization into a position it cannot substantiate later.</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External-impact concern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harm, inaccurate attestation, regulator contact, accreditation impact, or reportable-event question.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executive sponsor and legal where appropriate.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on communication, remediation urgency, acceptance, or disclosure posture.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Delaying senior review can reduce options and create a separate governance failure independent of the original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consequential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affects prioritization, customer messaging, eligibility, compliance determinations, or complaint handling.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to AI-use governance review with compliance and operational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approval, monitoring condition, human review requirement, or suspension decision.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productivity tool can quietly become a decision system without corresponding accountability records.</w:t>
            </w:r>
          </w:p>
        </w:tc>
      </w:tr>
    </w:tbl>
    <w:p>
      <w:pPr>
        <w:spacing w:after="40"/>
      </w:pPr>
    </w:p>
    <w:p>
      <w:pPr>
        <w:keepNext/>
        <w:spacing w:before="280" w:after="100"/>
      </w:pPr>
      <w:r>
        <w:rPr>
          <w:rFonts w:ascii="Aptos Display" w:hAnsi="Aptos Display" w:eastAsia="Aptos Display"/>
          <w:b/>
          <w:color w:val="183153"/>
          <w:sz w:val="26"/>
        </w:rPr>
        <w:t>Governance Forums and Functional Distinctions</w:t>
      </w:r>
    </w:p>
    <w:p>
      <w:pPr>
        <w:spacing w:before="0" w:after="140" w:lineRule="auto" w:line="259"/>
      </w:pPr>
      <w:r>
        <w:rPr>
          <w:rFonts w:ascii="Aptos" w:hAnsi="Aptos" w:eastAsia="Aptos"/>
          <w:b w:val="0"/>
          <w:color w:val="1F2A37"/>
          <w:sz w:val="20"/>
        </w:rPr>
        <w:t>Governance forums are effective only when their purpose is narrow enough to support decisions. The framework distinguishes forums that set tolerance, forums that classify exposure, and forums that drive remediation. Combining all three into a single meeting often creates a bottleneck: operational details consume executive time, while material decisions wait for complete information.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 or Function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Boundary</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Outcome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Needed</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Bottleneck or Fragmentation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risk tolerance, unresolved remediation, external impact, resource conflict.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 reject, defer, resource, or require escalation beyond management.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executive brief with consequence, options, owner, and timing.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Status-heavy agendas can hide the few decisions that require executive judgment.</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Risk and compliance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interpretation, exposure classification, evidence sufficiency, issue routing.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Assign governance tier, define evidence standard, route escalation, or approve closure.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packet, obligation reference, control evidence, exception history.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Excessive central review may discourage teams from surfacing early-stage concerns.</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control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performance, sample results, variance trends, completion discipline.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control health, require remediation, or refer material weakness upward.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system populations, review artifacts, aging exceptions.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review can become mechanical if it checks completion without testing whether the control still fits the process.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evidence, service degradation, subcontracting changes, contract assurance gaps.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Continue, remediate, constrain, replace, or escalate dependency risk.</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service metrics, obligation flow-down, contingency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Relationship owners may prioritize service continuity while assurance gaps accumulate.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or changed AI-assisted workflow, expanded data use, decision-support behavior.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use, require safeguards, limit scope, monitor output, or suspend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case description, data class, human review point, output reliance, monitoring signal.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Low-friction tool adoption can outpace governance if review occurs only after deployment.</w:t>
            </w:r>
          </w:p>
        </w:tc>
      </w:tr>
    </w:tbl>
    <w:p>
      <w:pPr>
        <w:spacing w:after="40"/>
      </w:pPr>
    </w:p>
    <w:p>
      <w:pPr>
        <w:keepNext/>
        <w:spacing w:before="280" w:after="100"/>
      </w:pPr>
      <w:r>
        <w:rPr>
          <w:rFonts w:ascii="Aptos Display" w:hAnsi="Aptos Display" w:eastAsia="Aptos Display"/>
          <w:b/>
          <w:color w:val="183153"/>
          <w:sz w:val="26"/>
        </w:rPr>
        <w:t>Operational Review Cadence</w:t>
      </w:r>
    </w:p>
    <w:p>
      <w:pPr>
        <w:spacing w:before="0" w:after="140" w:lineRule="auto" w:line="259"/>
      </w:pPr>
      <w:r>
        <w:rPr>
          <w:rFonts w:ascii="Aptos" w:hAnsi="Aptos" w:eastAsia="Aptos"/>
          <w:b w:val="0"/>
          <w:color w:val="1F2A37"/>
          <w:sz w:val="20"/>
        </w:rPr>
        <w:t>Cadence is calibrated to the volatility of the governed activity. Stable controls may be reviewed on a periodic cycle. Vendor failures, customer-impacting issues, AI-use changes, or potential external reporting concerns require event-driven review. The operating model favors cadence discipline over meeting volume: the right matter must reach the right forum before the organization loses practical response options.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Cadence Type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Appropriate Scope</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Timing Logic</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Minimum Evidence</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Event-driven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error, regulator contact, material vendor failure, AI-use expansion, evidence collapse.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Same business day or defined urgent window.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Exposure summary, proposed containment, decision authority, communication risk.</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Waiting for the next standing meeting can convert a manageable issue into an institutional failure.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operational control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controls, aging exceptions, completion rates, control population changes.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or aligned to control cycle.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sample results, open exception aging, remediation status.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review improves drift detection but can become procedural if no one tests control intent.</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trends, material exceptions, obligation changes, risk acceptance inventory.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with interim escalation for material issues.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register, accepted-risk report, obligation updates, unresolved dependencies.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quarterly rhythm supports pattern recognition but is too slow for live external exposure.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framework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 clarity, forum effectiveness, evidence standards, escalation thresholds.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Annually or after major operating model change.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lessons learned, audit findings, committee effectiveness notes.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review protects consistency, but stale charters can persist if operating changes are not captured mid-cycle.</w:t>
            </w:r>
          </w:p>
        </w:tc>
      </w:tr>
    </w:tbl>
    <w:p>
      <w:pPr>
        <w:spacing w:after="40"/>
      </w:pPr>
    </w:p>
    <w:p>
      <w:pPr>
        <w:keepNext/>
        <w:spacing w:before="280" w:after="100"/>
      </w:pPr>
      <w:r>
        <w:rPr>
          <w:rFonts w:ascii="Aptos Display" w:hAnsi="Aptos Display" w:eastAsia="Aptos Display"/>
          <w:b/>
          <w:color w:val="183153"/>
          <w:sz w:val="26"/>
        </w:rPr>
        <w:t>Governance Bottleneck and Fragmentation Risks</w:t>
      </w:r>
    </w:p>
    <w:p>
      <w:pPr>
        <w:spacing w:before="0" w:after="140" w:lineRule="auto" w:line="259"/>
      </w:pPr>
      <w:r>
        <w:rPr>
          <w:rFonts w:ascii="Aptos" w:hAnsi="Aptos" w:eastAsia="Aptos"/>
          <w:b w:val="0"/>
          <w:color w:val="1F2A37"/>
          <w:sz w:val="20"/>
        </w:rPr>
        <w:t>The operating model is designed to manage two opposite risks. Bottleneck risk arises when too many decisions are routed through a central function, causing slow approvals, diluted attention, and informal workarounds. Fragmentation risk arises when process teams act independently without recognizing shared obligations, external commitments, or evidence dependencies.</w:t>
      </w:r>
    </w:p>
    <w:p>
      <w:pPr>
        <w:spacing w:before="0" w:after="140" w:lineRule="auto" w:line="259"/>
      </w:pPr>
      <w:r>
        <w:rPr>
          <w:rFonts w:ascii="Aptos" w:hAnsi="Aptos" w:eastAsia="Aptos"/>
          <w:b w:val="0"/>
          <w:color w:val="1F2A37"/>
          <w:sz w:val="20"/>
        </w:rPr>
        <w:t>The framework controls bottleneck risk through tiered decision authority and defined escalation triggers. It controls fragmentation risk through ownership mapping, shared evidence standards, and cross-functional dependency review. Neither risk can be eliminated entirely. The purpose of the operating model is to make routing decisions explicit enough that governance remains active under normal operating pressure.</w:t>
      </w:r>
    </w:p>
    <w:p>
      <w:pPr>
        <w:keepNext/>
        <w:spacing w:before="280" w:after="100"/>
      </w:pPr>
      <w:r>
        <w:rPr>
          <w:rFonts w:ascii="Aptos Display" w:hAnsi="Aptos Display" w:eastAsia="Aptos Display"/>
          <w:b/>
          <w:color w:val="183153"/>
          <w:sz w:val="26"/>
        </w:rPr>
        <w:t>Governance Operating Failure Modes</w:t>
      </w:r>
    </w:p>
    <w:p>
      <w:pPr>
        <w:pStyle w:val="ListBullet"/>
        <w:spacing w:after="100" w:lineRule="auto" w:line="250"/>
        <w:ind w:left="360" w:hanging="216"/>
      </w:pPr>
      <w:r>
        <w:rPr>
          <w:rFonts w:ascii="Aptos" w:hAnsi="Aptos" w:eastAsia="Aptos"/>
          <w:b/>
          <w:color w:val="1F2A37"/>
          <w:sz w:val="20"/>
        </w:rPr>
        <w:t xml:space="preserve">Forum substitution. </w:t>
      </w:r>
      <w:r>
        <w:rPr>
          <w:rFonts w:ascii="Aptos" w:hAnsi="Aptos" w:eastAsia="Aptos"/>
          <w:b w:val="0"/>
          <w:color w:val="1F2A37"/>
          <w:sz w:val="20"/>
        </w:rPr>
        <w:t>A meeting is treated as governance even though no decision rights, escalation rules, or evidence expectations are attached to it.</w:t>
      </w:r>
    </w:p>
    <w:p>
      <w:pPr>
        <w:pStyle w:val="ListBullet"/>
        <w:spacing w:after="100" w:lineRule="auto" w:line="250"/>
        <w:ind w:left="360" w:hanging="216"/>
      </w:pPr>
      <w:r>
        <w:rPr>
          <w:rFonts w:ascii="Aptos" w:hAnsi="Aptos" w:eastAsia="Aptos"/>
          <w:b/>
          <w:color w:val="1F2A37"/>
          <w:sz w:val="20"/>
        </w:rPr>
        <w:t xml:space="preserve">Central review overload. </w:t>
      </w:r>
      <w:r>
        <w:rPr>
          <w:rFonts w:ascii="Aptos" w:hAnsi="Aptos" w:eastAsia="Aptos"/>
          <w:b w:val="0"/>
          <w:color w:val="1F2A37"/>
          <w:sz w:val="20"/>
        </w:rPr>
        <w:t>A governance function becomes the intake point for routine operational cleanup, leaving less capacity for obligation ambiguity, control degradation, vendor exposure, and AI-use review.</w:t>
      </w:r>
    </w:p>
    <w:p>
      <w:pPr>
        <w:pStyle w:val="ListBullet"/>
        <w:spacing w:after="100" w:lineRule="auto" w:line="250"/>
        <w:ind w:left="360" w:hanging="216"/>
      </w:pPr>
      <w:r>
        <w:rPr>
          <w:rFonts w:ascii="Aptos" w:hAnsi="Aptos" w:eastAsia="Aptos"/>
          <w:b/>
          <w:color w:val="1F2A37"/>
          <w:sz w:val="20"/>
        </w:rPr>
        <w:t xml:space="preserve">Distributed blind spots. </w:t>
      </w:r>
      <w:r>
        <w:rPr>
          <w:rFonts w:ascii="Aptos" w:hAnsi="Aptos" w:eastAsia="Aptos"/>
          <w:b w:val="0"/>
          <w:color w:val="1F2A37"/>
          <w:sz w:val="20"/>
        </w:rPr>
        <w:t>Teams manage their own tasks correctly but fail to see how their outputs support another function's attestation, audit sample, customer response, or regulatory timeline.</w:t>
      </w:r>
    </w:p>
    <w:p>
      <w:pPr>
        <w:pStyle w:val="ListBullet"/>
        <w:spacing w:after="100" w:lineRule="auto" w:line="250"/>
        <w:ind w:left="360" w:hanging="216"/>
      </w:pPr>
      <w:r>
        <w:rPr>
          <w:rFonts w:ascii="Aptos" w:hAnsi="Aptos" w:eastAsia="Aptos"/>
          <w:b/>
          <w:color w:val="1F2A37"/>
          <w:sz w:val="20"/>
        </w:rPr>
        <w:t xml:space="preserve">Evidence discontinuity. </w:t>
      </w:r>
      <w:r>
        <w:rPr>
          <w:rFonts w:ascii="Aptos" w:hAnsi="Aptos" w:eastAsia="Aptos"/>
          <w:b w:val="0"/>
          <w:color w:val="1F2A37"/>
          <w:sz w:val="20"/>
        </w:rPr>
        <w:t>Evidence is retained by the performing team but not linked to the governance decision, making the organization dependent on manual reconstruction during review.</w:t>
      </w:r>
    </w:p>
    <w:p>
      <w:pPr>
        <w:pStyle w:val="ListBullet"/>
        <w:spacing w:after="100" w:lineRule="auto" w:line="250"/>
        <w:ind w:left="360" w:hanging="216"/>
      </w:pPr>
      <w:r>
        <w:rPr>
          <w:rFonts w:ascii="Aptos" w:hAnsi="Aptos" w:eastAsia="Aptos"/>
          <w:b/>
          <w:color w:val="1F2A37"/>
          <w:sz w:val="20"/>
        </w:rPr>
        <w:t xml:space="preserve">Executive late entry. </w:t>
      </w:r>
      <w:r>
        <w:rPr>
          <w:rFonts w:ascii="Aptos" w:hAnsi="Aptos" w:eastAsia="Aptos"/>
          <w:b w:val="0"/>
          <w:color w:val="1F2A37"/>
          <w:sz w:val="20"/>
        </w:rPr>
        <w:t>Senior leaders are asked to approve a decision only after operational teams have already committed to a course of action, narrowing remediation or communication options.</w:t>
      </w:r>
    </w:p>
    <w:p>
      <w:pPr>
        <w:pStyle w:val="ListBullet"/>
        <w:spacing w:after="100" w:lineRule="auto" w:line="250"/>
        <w:ind w:left="360" w:hanging="216"/>
      </w:pPr>
      <w:r>
        <w:rPr>
          <w:rFonts w:ascii="Aptos" w:hAnsi="Aptos" w:eastAsia="Aptos"/>
          <w:b/>
          <w:color w:val="1F2A37"/>
          <w:sz w:val="20"/>
        </w:rPr>
        <w:t xml:space="preserve">Control ownership drift. </w:t>
      </w:r>
      <w:r>
        <w:rPr>
          <w:rFonts w:ascii="Aptos" w:hAnsi="Aptos" w:eastAsia="Aptos"/>
          <w:b w:val="0"/>
          <w:color w:val="1F2A37"/>
          <w:sz w:val="20"/>
        </w:rPr>
        <w:t>A control remains assigned to a named owner after the underlying system, vendor, data source, or workflow has changed materially.</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 tool introduced for administrative support gradually influences prioritization, classifications, or customer-facing output without a corresponding governance review.</w:t>
      </w:r>
    </w:p>
    <w:p>
      <w:pPr>
        <w:keepNext/>
        <w:spacing w:before="280" w:after="100"/>
      </w:pPr>
      <w:r>
        <w:rPr>
          <w:rFonts w:ascii="Aptos Display" w:hAnsi="Aptos Display" w:eastAsia="Aptos Display"/>
          <w:b/>
          <w:color w:val="183153"/>
          <w:sz w:val="26"/>
        </w:rPr>
        <w:t>Operating Standard</w:t>
      </w:r>
    </w:p>
    <w:p>
      <w:pPr>
        <w:spacing w:before="0" w:after="140" w:lineRule="auto" w:line="259"/>
      </w:pPr>
      <w:r>
        <w:rPr>
          <w:rFonts w:ascii="Aptos" w:hAnsi="Aptos" w:eastAsia="Aptos"/>
          <w:b w:val="0"/>
          <w:color w:val="1F2A37"/>
          <w:sz w:val="20"/>
        </w:rPr>
        <w:t>The governance operating model requires material governance activity to be routed through identifiable roles, decision forums, evidence paths, and review cadences. Execution, control ownership, obligation interpretation, and risk acceptance may be closely coordinated, but they are not interchangeable responsibilities.</w:t>
      </w:r>
    </w:p>
    <w:p>
      <w:pPr>
        <w:spacing w:before="0" w:after="0" w:lineRule="auto" w:line="259"/>
      </w:pPr>
      <w:r>
        <w:rPr>
          <w:rFonts w:ascii="Aptos" w:hAnsi="Aptos" w:eastAsia="Aptos"/>
          <w:b w:val="0"/>
          <w:color w:val="1F2A37"/>
          <w:sz w:val="20"/>
        </w:rPr>
        <w:t>Organizations implementing this framework preserve accountability by ensuring that operational teams can perform work efficiently, governance functions can classify and escalate exposure, and executives receive matters requiring institutional judgment before response options have narrowed. The model is effective when governance decisions can be traced from operational fact, to accountable owner, to decision authority, to retained evidence.</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Governance Operating Model</dc:title>
  <dc:subject>Paladin Compliance Governance Binder</dc:subject>
  <dc:creator>Paladin Compliance</dc:creator>
  <cp:keywords>governance operating model, compliance, risk, oversight,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