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ptos Display" w:hAnsi="Aptos Display" w:eastAsia="Aptos Display"/>
          <w:b/>
          <w:color w:val="183153"/>
          <w:sz w:val="44"/>
        </w:rPr>
        <w:t>1.3 Governance Lifecycle Concepts</w:t>
      </w:r>
    </w:p>
    <w:p>
      <w:pPr>
        <w:spacing w:before="0" w:after="140" w:lineRule="auto" w:line="259"/>
      </w:pPr>
      <w:r>
        <w:rPr>
          <w:rFonts w:ascii="Aptos" w:hAnsi="Aptos" w:eastAsia="Aptos"/>
          <w:b w:val="0"/>
          <w:color w:val="1F2A37"/>
          <w:sz w:val="20"/>
        </w:rPr>
        <w:t>The governance lifecycle defines how governance remains reliable after initial adoption. A governance framework can be well designed at approval and still become unreliable over time if ownership, controls, evidence, escalation thresholds, and AI-assisted workflows do not evolve with the operating environment. The lifecycle treats governance as a living operating discipline rather than a static documentation state.</w:t>
      </w:r>
    </w:p>
    <w:p>
      <w:pPr>
        <w:spacing w:before="0" w:after="140" w:lineRule="auto" w:line="259"/>
      </w:pPr>
      <w:r>
        <w:rPr>
          <w:rFonts w:ascii="Aptos" w:hAnsi="Aptos" w:eastAsia="Aptos"/>
          <w:b w:val="0"/>
          <w:color w:val="1F2A37"/>
          <w:sz w:val="20"/>
        </w:rPr>
        <w:t>The governance lifecycle is shaped by organizational change. Systems are migrated, vendors are replaced, roles are redistributed, customer commitments change, and informal workarounds emerge under delivery pressure. A control may continue operating on schedule while no longer covering the correct system population after a platform migration. An AI tool introduced for internal summarization may later be used to classify complaints or prioritize customer responses without reassessment.</w:t>
      </w:r>
    </w:p>
    <w:p>
      <w:pPr>
        <w:spacing w:before="0" w:after="140" w:lineRule="auto" w:line="259"/>
      </w:pPr>
      <w:r>
        <w:rPr>
          <w:rFonts w:ascii="Aptos" w:hAnsi="Aptos" w:eastAsia="Aptos"/>
          <w:b w:val="0"/>
          <w:color w:val="1F2A37"/>
          <w:sz w:val="20"/>
        </w:rPr>
        <w:t>This framework therefore links governance maintenance to operational events, not only calendar review. Periodic review remains necessary, but it is insufficient by itself. Mature governance requires the organization to recognize when a previously acceptable structure has drifted away from the risk it was designed to manage.</w:t>
      </w:r>
    </w:p>
    <w:p>
      <w:pPr>
        <w:keepNext/>
        <w:spacing w:before="280" w:after="100"/>
      </w:pPr>
      <w:r>
        <w:rPr>
          <w:rFonts w:ascii="Aptos Display" w:hAnsi="Aptos Display" w:eastAsia="Aptos Display"/>
          <w:b/>
          <w:color w:val="183153"/>
          <w:sz w:val="26"/>
        </w:rPr>
        <w:t>Lifecycle Operating Premises</w:t>
      </w:r>
    </w:p>
    <w:p>
      <w:pPr>
        <w:pStyle w:val="ListBullet"/>
        <w:spacing w:after="100" w:lineRule="auto" w:line="250"/>
        <w:ind w:left="360" w:hanging="216"/>
      </w:pPr>
      <w:r>
        <w:rPr>
          <w:rFonts w:ascii="Aptos" w:hAnsi="Aptos" w:eastAsia="Aptos"/>
          <w:b/>
          <w:color w:val="1F2A37"/>
          <w:sz w:val="20"/>
        </w:rPr>
        <w:t xml:space="preserve">Governance changes whenever the operating facts change. </w:t>
      </w:r>
      <w:r>
        <w:rPr>
          <w:rFonts w:ascii="Aptos" w:hAnsi="Aptos" w:eastAsia="Aptos"/>
          <w:b w:val="0"/>
          <w:color w:val="1F2A37"/>
          <w:sz w:val="20"/>
        </w:rPr>
        <w:t>A process redesign, data migration, vendor handoff, or AI-use expansion may alter governance exposure even if the written policy remains unchanged.</w:t>
      </w:r>
    </w:p>
    <w:p>
      <w:pPr>
        <w:pStyle w:val="ListBullet"/>
        <w:spacing w:after="100" w:lineRule="auto" w:line="250"/>
        <w:ind w:left="360" w:hanging="216"/>
      </w:pPr>
      <w:r>
        <w:rPr>
          <w:rFonts w:ascii="Aptos" w:hAnsi="Aptos" w:eastAsia="Aptos"/>
          <w:b/>
          <w:color w:val="1F2A37"/>
          <w:sz w:val="20"/>
        </w:rPr>
        <w:t xml:space="preserve">Control operation is not the same as control relevance. </w:t>
      </w:r>
      <w:r>
        <w:rPr>
          <w:rFonts w:ascii="Aptos" w:hAnsi="Aptos" w:eastAsia="Aptos"/>
          <w:b w:val="0"/>
          <w:color w:val="1F2A37"/>
          <w:sz w:val="20"/>
        </w:rPr>
        <w:t>A review can occur on time while excluding new users, missing a revised data feed, or relying on an evidence source that no longer reflects production activity.</w:t>
      </w:r>
    </w:p>
    <w:p>
      <w:pPr>
        <w:pStyle w:val="ListBullet"/>
        <w:spacing w:after="100" w:lineRule="auto" w:line="250"/>
        <w:ind w:left="360" w:hanging="216"/>
      </w:pPr>
      <w:r>
        <w:rPr>
          <w:rFonts w:ascii="Aptos" w:hAnsi="Aptos" w:eastAsia="Aptos"/>
          <w:b/>
          <w:color w:val="1F2A37"/>
          <w:sz w:val="20"/>
        </w:rPr>
        <w:t xml:space="preserve">Evidence has a lifecycle of its own. </w:t>
      </w:r>
      <w:r>
        <w:rPr>
          <w:rFonts w:ascii="Aptos" w:hAnsi="Aptos" w:eastAsia="Aptos"/>
          <w:b w:val="0"/>
          <w:color w:val="1F2A37"/>
          <w:sz w:val="20"/>
        </w:rPr>
        <w:t>Records must remain retrievable, attributable, period-specific, and connected to the decision they support; otherwise audit readiness decays even when work was performed.</w:t>
      </w:r>
    </w:p>
    <w:p>
      <w:pPr>
        <w:pStyle w:val="ListBullet"/>
        <w:spacing w:after="100" w:lineRule="auto" w:line="250"/>
        <w:ind w:left="360" w:hanging="216"/>
      </w:pPr>
      <w:r>
        <w:rPr>
          <w:rFonts w:ascii="Aptos" w:hAnsi="Aptos" w:eastAsia="Aptos"/>
          <w:b/>
          <w:color w:val="1F2A37"/>
          <w:sz w:val="20"/>
        </w:rPr>
        <w:t xml:space="preserve">Escalation maturity depends on pattern recognition. </w:t>
      </w:r>
      <w:r>
        <w:rPr>
          <w:rFonts w:ascii="Aptos" w:hAnsi="Aptos" w:eastAsia="Aptos"/>
          <w:b w:val="0"/>
          <w:color w:val="1F2A37"/>
          <w:sz w:val="20"/>
        </w:rPr>
        <w:t>A single delay may be local; repeated delays against the same obligation indicate a governance condition that requires reassessment.</w:t>
      </w:r>
    </w:p>
    <w:p>
      <w:pPr>
        <w:keepNext/>
        <w:spacing w:before="280" w:after="100"/>
      </w:pPr>
      <w:r>
        <w:rPr>
          <w:rFonts w:ascii="Aptos Display" w:hAnsi="Aptos Display" w:eastAsia="Aptos Display"/>
          <w:b/>
          <w:color w:val="183153"/>
          <w:sz w:val="26"/>
        </w:rPr>
        <w:t>Lifecycle Stage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Stage</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Condition</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Purpose</w:t>
            </w:r>
          </w:p>
        </w:tc>
        <w:tc>
          <w:tcPr>
            <w:tcW w:type="dxa" w:w="218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Marker</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Asymmetrical Risk</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Formation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roles, decision rights, evidence standards, and escalation thresholds are defined.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Translate framework expectations into owned processes and review forums.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Charter, ownership register, obligation map, initial control inventory.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polished structure can create confidence before teams have proven they can operate it under pressure.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Operationalization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begin applying governance routines to live workflows, exceptions, vendors, and AI-assisted use cases.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that review cadence, routing paths, and evidence capture work in ordinary business conditions.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Completed reviews, issue logs, evidence folders, first-cycle committee records.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Early activity may appear successful because simple cases are processed while ambiguous cases remain informal.</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Stabilization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patterns become predictable and owners understand when matters leave local handling.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Reduce inconsistency, refine escalation triggers, and close gaps exposed by first-cycle operation.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Trend summaries, updated procedures, recurring exception analysis, closure records.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Standardization improves reliability but can suppress novel risk signals if teams overfit to routine checklists.</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Adaptation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model changes, vendor transitions, technology updates, or regulatory developments alter the risk profile.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Reassess whether existing controls and forums still match the exposure being governed.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Change assessment, revised control mapping, updated risk classification, approval conditions.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Delay in reassessment can leave old governance mechanisms attached to a materially different process.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Lifecycle review identifies stale ownership, weak evidence, normalized exceptions, or outdated escalation logic.</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governance design before decay becomes visible through audit findings or customer challenges.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Framework review memo, action plan, updated ownership matrix, retired or revised controls.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consumes time and attention; postponement preserves short-term efficiency while allowing fragility to accumulate.</w:t>
            </w:r>
          </w:p>
        </w:tc>
      </w:tr>
    </w:tbl>
    <w:p>
      <w:pPr>
        <w:spacing w:after="40"/>
      </w:pPr>
    </w:p>
    <w:p>
      <w:pPr>
        <w:keepNext/>
        <w:spacing w:before="280" w:after="100"/>
      </w:pPr>
      <w:r>
        <w:rPr>
          <w:rFonts w:ascii="Aptos Display" w:hAnsi="Aptos Display" w:eastAsia="Aptos Display"/>
          <w:b/>
          <w:color w:val="183153"/>
          <w:sz w:val="26"/>
        </w:rPr>
        <w:t>Governance Maturity Progression</w:t>
      </w:r>
    </w:p>
    <w:p>
      <w:pPr>
        <w:spacing w:before="0" w:after="140" w:lineRule="auto" w:line="259"/>
      </w:pPr>
      <w:r>
        <w:rPr>
          <w:rFonts w:ascii="Aptos" w:hAnsi="Aptos" w:eastAsia="Aptos"/>
          <w:b w:val="0"/>
          <w:color w:val="1F2A37"/>
          <w:sz w:val="20"/>
        </w:rPr>
        <w:t>Maturity is not measured by the number of documents maintained. It is measured by whether governance continues to produce reliable decisions as operational complexity increases. A less mature organization may rely on heroic individual knowledge and after-the-fact evidence gathering. A more mature implementation preserves decision quality when ownership changes, vendors fail, AI use expands, or customer obligations become more specific.</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Maturity State</w:t>
            </w:r>
          </w:p>
        </w:tc>
        <w:tc>
          <w:tcPr>
            <w:tcW w:type="dxa" w:w="247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Observable Behavior</w:t>
            </w:r>
          </w:p>
        </w:tc>
        <w:tc>
          <w:tcPr>
            <w:tcW w:type="dxa" w:w="233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Pattern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Condition</w:t>
            </w:r>
          </w:p>
        </w:tc>
        <w:tc>
          <w:tcPr>
            <w:tcW w:type="dxa" w:w="233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Tradeoff</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Documented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Roles and controls exist in written form, but operating proof is limited.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depends on individual judgment and proximity to leadership.</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may be stored locally by the performing team.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framework can pass a surface review while failing to support a contested decision.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routines are performed and common issues reach the expected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Known paths exist for control gaps, vendor concerns, and obligation questions.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Artifacts show timing, owner, and outcome for recurring reviews.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teams may still treat unusual events as one-off exceptions instead of governance signals.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Integrated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is connected to change management, vendor oversight, AI-use review, and evidence retention.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occurs when exposure changes, not only when deadlines are missed.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links process activity, control review, decision authority, and closure.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Coordination costs increase; governance fatigue can appear if review thresholds are not disciplined.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Adaptive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detects drift, revises controls, and updates accountability before failures become external.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Repeated variance, technology change, and evidence decay trigger reassessment.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Lifecycle records show why governance design changed and what exposure was reduced.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Frequent recalibration can create instability if every operational inconvenience is treated as structural weakness.</w:t>
            </w:r>
          </w:p>
        </w:tc>
      </w:tr>
    </w:tbl>
    <w:p>
      <w:pPr>
        <w:spacing w:after="40"/>
      </w:pPr>
    </w:p>
    <w:p>
      <w:pPr>
        <w:keepNext/>
        <w:spacing w:before="280" w:after="100"/>
      </w:pPr>
      <w:r>
        <w:rPr>
          <w:rFonts w:ascii="Aptos Display" w:hAnsi="Aptos Display" w:eastAsia="Aptos Display"/>
          <w:b/>
          <w:color w:val="183153"/>
          <w:sz w:val="26"/>
        </w:rPr>
        <w:t>Reassessment Trigger Model</w:t>
      </w:r>
    </w:p>
    <w:p>
      <w:pPr>
        <w:spacing w:before="0" w:after="140" w:lineRule="auto" w:line="259"/>
      </w:pPr>
      <w:r>
        <w:rPr>
          <w:rFonts w:ascii="Aptos" w:hAnsi="Aptos" w:eastAsia="Aptos"/>
          <w:b w:val="0"/>
          <w:color w:val="1F2A37"/>
          <w:sz w:val="20"/>
        </w:rPr>
        <w:t>Reassessment is the mechanism that prevents governance from becoming a static record of an earlier operating model. Triggers may arise from formal change programs, repeated exceptions, external commitments, evidence failures, or gradual process evolution. The governance lifecycle treats reassessment as a decision point: continue the existing model, modify the control, revise ownership, elevate exposure, or retire an obsolete requirement.</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1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Trigger</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Signal</w:t>
            </w:r>
          </w:p>
        </w:tc>
        <w:tc>
          <w:tcPr>
            <w:tcW w:type="dxa" w:w="241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Reassessment Decision</w:t>
            </w:r>
          </w:p>
        </w:tc>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Primary Participants</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If Ignored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Platform or system migration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Data source, user population, workflow queue, or approval path changes.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that controls still cover the correct population and evidence source.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owner, control owner, governance function.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control continues on schedule but samples a legacy system no longer used for production decisions.</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expansion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Tool output moves from drafting or summarization into triage, classification, prioritization, or customer-facing content.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Reclassify the use case and define human review, monitoring, and evidence requirements.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AI-use reviewer, compliance or risk lead.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low-risk productivity aid quietly becomes a consequential decision-support mechanism.</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recurrence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same workaround, late control, missing evidence, or manual override appears across multiple periods.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Determine whether the issue is capacity strain, control design failure, or unmanaged risk acceptance.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business sponsor, governance forum.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operating relief becomes the real process while formal governance still describes the original method.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 or contractual change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New attestation language, audit rights, reporting commitments, service levels, or data obligations are introduced.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Map the commitment to controls, ownership, evidence, and escalation thresholds.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 owner, legal or contract reviewer, governance function.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Sales or renewal commitments outpace the organization's ability to produce supporting proof.</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deficiency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Artifacts cannot be reproduced, lack owner context, conflict with procedure, or omit the reviewed population.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Repair evidence standard and assess whether prior periods require impact review.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steward, control owner, internal assurance or compliance lead.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Work may have occurred, but the governance record cannot withstand audit or customer challenge.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Ownership disruption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Reorganization, attrition, outsourcing, or role consolidation changes who performs or approves the work.</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decision authority and confirm transfer of retained evidence and open issues.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 process owner, governance coordinator.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named owner remains in documentation while the operating team assumes someone else is accountable.</w:t>
            </w:r>
          </w:p>
        </w:tc>
      </w:tr>
    </w:tbl>
    <w:p>
      <w:pPr>
        <w:spacing w:after="40"/>
      </w:pPr>
    </w:p>
    <w:p>
      <w:pPr>
        <w:keepNext/>
        <w:spacing w:before="280" w:after="100"/>
      </w:pPr>
      <w:r>
        <w:rPr>
          <w:rFonts w:ascii="Aptos Display" w:hAnsi="Aptos Display" w:eastAsia="Aptos Display"/>
          <w:b/>
          <w:color w:val="183153"/>
          <w:sz w:val="26"/>
        </w:rPr>
        <w:t>Governance Drift Indicators</w:t>
      </w:r>
    </w:p>
    <w:p>
      <w:pPr>
        <w:spacing w:before="0" w:after="140" w:lineRule="auto" w:line="259"/>
      </w:pPr>
      <w:r>
        <w:rPr>
          <w:rFonts w:ascii="Aptos" w:hAnsi="Aptos" w:eastAsia="Aptos"/>
          <w:b w:val="0"/>
          <w:color w:val="1F2A37"/>
          <w:sz w:val="20"/>
        </w:rPr>
        <w:t>Governance drift occurs when the documented governance model remains stable while the operating environment changes around it. Drift is often quiet. It appears as small workarounds, unreviewed system changes, missing populations, unchanged committee agendas, or evidence that no longer maps cleanly to the obligation it supports.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Drift Indicator</w:t>
            </w:r>
          </w:p>
        </w:tc>
        <w:tc>
          <w:tcPr>
            <w:tcW w:type="dxa" w:w="262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Appears</w:t>
            </w:r>
          </w:p>
        </w:tc>
        <w:tc>
          <w:tcPr>
            <w:tcW w:type="dxa" w:w="295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Exposure Created</w:t>
            </w:r>
          </w:p>
        </w:tc>
        <w:tc>
          <w:tcPr>
            <w:tcW w:type="dxa" w:w="313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Response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Control-to-process divergence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control is completed, but the workflow input, system queue, or population has changed.</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evidence gives false assurance because it no longer represents the governed activity.</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Re-map control criteria to the current process and test a recent sample.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Stale ownership mapping</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documented owner remains assigned after team restructuring or role transfer.</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slows because authority and operational knowledge are no longer in the same place.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ownership register and require explicit transfer of open issues and evidence locations.</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decay</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Records exist, but file names, sources, dates, approvals, or reviewed populations are unclear.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Audit defense depends on interpretation rather than direct proof.</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Standardize repository structure, artifact naming, approval markers, and retention period.</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normalization</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deviations recur without renewed approval or expiration review.</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risk acceptance becomes permanent without the governance discipline attached to permanent change.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Convert recurring exceptions into redesign, formal acceptance, or closure with verification.</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cadence mismatch</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forum meets on schedule, but risk changes between cycles or routine agendas crowd out urgent matters.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issues wait for calendar review while operational facts continue to evolve.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Add event-driven escalation criteria and shorten review windows for volatile activities.</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fatigue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treat review as administrative overhead and provide minimal status without decision content.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becomes ceremonial because participants stop distinguishing signals from routine reporting.</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Reduce low-value reporting, clarify decision thresholds, and focus forums on unresolved exposure.</w:t>
            </w:r>
          </w:p>
        </w:tc>
      </w:tr>
    </w:tbl>
    <w:p>
      <w:pPr>
        <w:spacing w:after="40"/>
      </w:pPr>
    </w:p>
    <w:p>
      <w:pPr>
        <w:keepNext/>
        <w:spacing w:before="280" w:after="100"/>
      </w:pPr>
      <w:r>
        <w:rPr>
          <w:rFonts w:ascii="Aptos Display" w:hAnsi="Aptos Display" w:eastAsia="Aptos Display"/>
          <w:b/>
          <w:color w:val="183153"/>
          <w:sz w:val="26"/>
        </w:rPr>
        <w:t>Evidence Continuity Lifecycle</w:t>
      </w:r>
    </w:p>
    <w:p>
      <w:pPr>
        <w:spacing w:before="0" w:after="140" w:lineRule="auto" w:line="259"/>
      </w:pPr>
      <w:r>
        <w:rPr>
          <w:rFonts w:ascii="Aptos" w:hAnsi="Aptos" w:eastAsia="Aptos"/>
          <w:b w:val="0"/>
          <w:color w:val="1F2A37"/>
          <w:sz w:val="20"/>
        </w:rPr>
        <w:t>Evidence continuity is the ability to connect a governance decision to the operating facts, control performance, owner, approval context, and retained artifact over time. Continuity fails when evidence is dispersed, renamed, overwritten, stored in personal locations, or disconnected from the decision it supports. The lifecycle requires evidence to remain useful after personnel changes, system migrations, and audit requests.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1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Phase</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Function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Typical Artifact</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Continuity Risk</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Maintenance Mechanism</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Creation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 is produced during the governed activity or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Screenshot, export, approval note, meeting record, exception rationale.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captured after the fact may omit context that existed only at the time of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Record source, date, owner, period covered, and decision linkage at creation.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Validation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Reviewer confirms the artifact supports the stated control or governance decision.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Sample review, population check, approval confirmation, source-system tie-out.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file can be complete but irrelevant if it does not cover the right system, timeframe, or population.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Test evidence against control intent before marking the item closed.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Retention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is stored where authorized reviewers can locate it without relying on individual memory.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Controlled repository, naming standard, version marker, retention category.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Local storage and email trails create dependence on personnel availability and informal search.</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 standard folders, stable naming, retention rules, and access controls.</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Retrieval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is produced for audit, customer inquiry, executive review, accreditation, or internal assurance.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packet, decision log, supporting artifacts, issue closure record.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Delayed retrieval can create credibility concerns even when evidence ultimately exists.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Maintain index or register connecting obligations, controls, decisions, and artifact locations.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or retirement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design changes, obligation ends, or evidence standard is replaced.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Retired control note, migration record, superseded evidence standard, closure memo.</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Obsolete evidence may be mistaken for current assurance if retirement is not documented.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Mark superseded artifacts and preserve rationale for retention or disposal.</w:t>
            </w:r>
          </w:p>
        </w:tc>
      </w:tr>
    </w:tbl>
    <w:p>
      <w:pPr>
        <w:spacing w:after="40"/>
      </w:pPr>
    </w:p>
    <w:p>
      <w:pPr>
        <w:keepNext/>
        <w:spacing w:before="280" w:after="100"/>
      </w:pPr>
      <w:r>
        <w:rPr>
          <w:rFonts w:ascii="Aptos Display" w:hAnsi="Aptos Display" w:eastAsia="Aptos Display"/>
          <w:b/>
          <w:color w:val="183153"/>
          <w:sz w:val="26"/>
        </w:rPr>
        <w:t>Lifecycle Escalation Patterns</w:t>
      </w:r>
    </w:p>
    <w:p>
      <w:pPr>
        <w:spacing w:before="0" w:after="140" w:lineRule="auto" w:line="259"/>
      </w:pPr>
      <w:r>
        <w:rPr>
          <w:rFonts w:ascii="Aptos" w:hAnsi="Aptos" w:eastAsia="Aptos"/>
          <w:b w:val="0"/>
          <w:color w:val="1F2A37"/>
          <w:sz w:val="20"/>
        </w:rPr>
        <w:t>Escalation patterns change as governance matures. Early-stage implementations often escalate visible problems: missed reviews, missing evidence, or known vendor failures. Mature implementations escalate changes in conditions before they become failures. The lifecycle therefore distinguishes incident escalation from drift escalation, reassessment escalation, and renewal escalation.</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9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Pattern</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Signal</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Needed</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Routing Logic</w:t>
            </w:r>
          </w:p>
        </w:tc>
        <w:tc>
          <w:tcPr>
            <w:tcW w:type="dxa" w:w="236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Tradeoff</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escalation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deadline is missed, evidence is unavailable, or a customer-facing error occurs.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Contain impact and assign corrective action.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owner with governance notification; executive sponsor if external impact is plausible.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Fast action can repair the event while leaving the underlying lifecycle weakness untouched.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Drift escalation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control, owner, system, or evidence path no longer matches the documented model.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Determine whether governance design must change.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governance function, affected process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Ignoring drift preserves apparent stability while assurance quality declines.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Reassessment escalation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change introduces new exposure or changes the consequence of an existing activity.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Reclassify risk, revise controls, or update approval conditions.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forum with business, compliance, and technical representation as needed.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Too much reassessment slows delivery; too little allows material change to bypass governance.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escalation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Accumulated exceptions, stale mappings, or governance fatigue indicate structural decay.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ownership, cadence, evidence standards, and escalation thresholds.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forum or designated governance sponsor.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delayed until audit pressure often results in broad remediation under compressed timing.</w:t>
            </w:r>
          </w:p>
        </w:tc>
      </w:tr>
    </w:tbl>
    <w:p>
      <w:pPr>
        <w:spacing w:after="40"/>
      </w:pPr>
    </w:p>
    <w:p>
      <w:pPr>
        <w:keepNext/>
        <w:spacing w:before="280" w:after="100"/>
      </w:pPr>
      <w:r>
        <w:rPr>
          <w:rFonts w:ascii="Aptos Display" w:hAnsi="Aptos Display" w:eastAsia="Aptos Display"/>
          <w:b/>
          <w:color w:val="183153"/>
          <w:sz w:val="26"/>
        </w:rPr>
        <w:t>Governance Refresh Mechanisms</w:t>
      </w:r>
    </w:p>
    <w:p>
      <w:pPr>
        <w:spacing w:before="0" w:after="140" w:lineRule="auto" w:line="259"/>
      </w:pPr>
      <w:r>
        <w:rPr>
          <w:rFonts w:ascii="Aptos" w:hAnsi="Aptos" w:eastAsia="Aptos"/>
          <w:b w:val="0"/>
          <w:color w:val="1F2A37"/>
          <w:sz w:val="20"/>
        </w:rPr>
        <w:t>Governance refresh mechanisms preserve the usefulness of the framework without requiring constant redesign. Refresh may involve updating ownership registers, retiring controls that no longer map to obligations, revising evidence standards, adding event-driven escalation triggers, or reclassifying AI-assisted workflows. The purpose is not to make governance more complex; it is to keep the framework aligned to current operating facts.</w:t>
      </w:r>
    </w:p>
    <w:p>
      <w:pPr>
        <w:spacing w:before="0" w:after="140" w:lineRule="auto" w:line="259"/>
      </w:pPr>
      <w:r>
        <w:rPr>
          <w:rFonts w:ascii="Aptos" w:hAnsi="Aptos" w:eastAsia="Aptos"/>
          <w:b w:val="0"/>
          <w:color w:val="1F2A37"/>
          <w:sz w:val="20"/>
        </w:rPr>
        <w:t>Sustainable governance uses refresh mechanisms that are visible enough to be trusted and narrow enough to be maintained. A quarterly review may identify patterns, but targeted refresh occurs when a platform migration changes the control population, when a vendor changes subcontractors, when a customer contract adds audit rights, or when exception records show that the same workaround has become routine.</w:t>
      </w:r>
    </w:p>
    <w:p>
      <w:pPr>
        <w:keepNext/>
        <w:spacing w:before="280" w:after="100"/>
      </w:pPr>
      <w:r>
        <w:rPr>
          <w:rFonts w:ascii="Aptos Display" w:hAnsi="Aptos Display" w:eastAsia="Aptos Display"/>
          <w:b/>
          <w:color w:val="183153"/>
          <w:sz w:val="26"/>
        </w:rPr>
        <w:t>Governance Lifecycle Failure Modes</w:t>
      </w:r>
    </w:p>
    <w:p>
      <w:pPr>
        <w:pStyle w:val="ListBullet"/>
        <w:spacing w:after="100" w:lineRule="auto" w:line="250"/>
        <w:ind w:left="360" w:hanging="216"/>
      </w:pPr>
      <w:r>
        <w:rPr>
          <w:rFonts w:ascii="Aptos" w:hAnsi="Aptos" w:eastAsia="Aptos"/>
          <w:b/>
          <w:color w:val="1F2A37"/>
          <w:sz w:val="20"/>
        </w:rPr>
        <w:t xml:space="preserve">Static framework reliance. </w:t>
      </w:r>
      <w:r>
        <w:rPr>
          <w:rFonts w:ascii="Aptos" w:hAnsi="Aptos" w:eastAsia="Aptos"/>
          <w:b w:val="0"/>
          <w:color w:val="1F2A37"/>
          <w:sz w:val="20"/>
        </w:rPr>
        <w:t>The organization treats initial governance approval as durable assurance even after systems, vendors, staffing, or customer commitments change.</w:t>
      </w:r>
    </w:p>
    <w:p>
      <w:pPr>
        <w:pStyle w:val="ListBullet"/>
        <w:spacing w:after="100" w:lineRule="auto" w:line="250"/>
        <w:ind w:left="360" w:hanging="216"/>
      </w:pPr>
      <w:r>
        <w:rPr>
          <w:rFonts w:ascii="Aptos" w:hAnsi="Aptos" w:eastAsia="Aptos"/>
          <w:b/>
          <w:color w:val="1F2A37"/>
          <w:sz w:val="20"/>
        </w:rPr>
        <w:t xml:space="preserve">Undocumented process evolution. </w:t>
      </w:r>
      <w:r>
        <w:rPr>
          <w:rFonts w:ascii="Aptos" w:hAnsi="Aptos" w:eastAsia="Aptos"/>
          <w:b w:val="0"/>
          <w:color w:val="1F2A37"/>
          <w:sz w:val="20"/>
        </w:rPr>
        <w:t>Teams improve speed through informal workarounds, but the control design and evidence standard continue to describe the prior workflow.</w:t>
      </w:r>
    </w:p>
    <w:p>
      <w:pPr>
        <w:pStyle w:val="ListBullet"/>
        <w:spacing w:after="100" w:lineRule="auto" w:line="250"/>
        <w:ind w:left="360" w:hanging="216"/>
      </w:pPr>
      <w:r>
        <w:rPr>
          <w:rFonts w:ascii="Aptos" w:hAnsi="Aptos" w:eastAsia="Aptos"/>
          <w:b/>
          <w:color w:val="1F2A37"/>
          <w:sz w:val="20"/>
        </w:rPr>
        <w:t xml:space="preserve">Stale ownership chain. </w:t>
      </w:r>
      <w:r>
        <w:rPr>
          <w:rFonts w:ascii="Aptos" w:hAnsi="Aptos" w:eastAsia="Aptos"/>
          <w:b w:val="0"/>
          <w:color w:val="1F2A37"/>
          <w:sz w:val="20"/>
        </w:rPr>
        <w:t>A control remains assigned to a departed, reassigned, or overloaded role while operational staff assume governance accountability has transferred elsewhere.</w:t>
      </w:r>
    </w:p>
    <w:p>
      <w:pPr>
        <w:pStyle w:val="ListBullet"/>
        <w:spacing w:after="100" w:lineRule="auto" w:line="250"/>
        <w:ind w:left="360" w:hanging="216"/>
      </w:pPr>
      <w:r>
        <w:rPr>
          <w:rFonts w:ascii="Aptos" w:hAnsi="Aptos" w:eastAsia="Aptos"/>
          <w:b/>
          <w:color w:val="1F2A37"/>
          <w:sz w:val="20"/>
        </w:rPr>
        <w:t xml:space="preserve">Reassessment bottleneck. </w:t>
      </w:r>
      <w:r>
        <w:rPr>
          <w:rFonts w:ascii="Aptos" w:hAnsi="Aptos" w:eastAsia="Aptos"/>
          <w:b w:val="0"/>
          <w:color w:val="1F2A37"/>
          <w:sz w:val="20"/>
        </w:rPr>
        <w:t>Every change waits for central review, so teams begin routing around governance to keep operations moving.</w:t>
      </w:r>
    </w:p>
    <w:p>
      <w:pPr>
        <w:pStyle w:val="ListBullet"/>
        <w:spacing w:after="100" w:lineRule="auto" w:line="250"/>
        <w:ind w:left="360" w:hanging="216"/>
      </w:pPr>
      <w:r>
        <w:rPr>
          <w:rFonts w:ascii="Aptos" w:hAnsi="Aptos" w:eastAsia="Aptos"/>
          <w:b/>
          <w:color w:val="1F2A37"/>
          <w:sz w:val="20"/>
        </w:rPr>
        <w:t xml:space="preserve">Review cadence mismatch. </w:t>
      </w:r>
      <w:r>
        <w:rPr>
          <w:rFonts w:ascii="Aptos" w:hAnsi="Aptos" w:eastAsia="Aptos"/>
          <w:b w:val="0"/>
          <w:color w:val="1F2A37"/>
          <w:sz w:val="20"/>
        </w:rPr>
        <w:t>Calendar-based governance misses fast-moving exposure, while event-driven issues are deferred until the next standing forum.</w:t>
      </w:r>
    </w:p>
    <w:p>
      <w:pPr>
        <w:pStyle w:val="ListBullet"/>
        <w:spacing w:after="100" w:lineRule="auto" w:line="250"/>
        <w:ind w:left="360" w:hanging="216"/>
      </w:pPr>
      <w:r>
        <w:rPr>
          <w:rFonts w:ascii="Aptos" w:hAnsi="Aptos" w:eastAsia="Aptos"/>
          <w:b/>
          <w:color w:val="1F2A37"/>
          <w:sz w:val="20"/>
        </w:rPr>
        <w:t xml:space="preserve">AI-use creep. </w:t>
      </w:r>
      <w:r>
        <w:rPr>
          <w:rFonts w:ascii="Aptos" w:hAnsi="Aptos" w:eastAsia="Aptos"/>
          <w:b w:val="0"/>
          <w:color w:val="1F2A37"/>
          <w:sz w:val="20"/>
        </w:rPr>
        <w:t>AI-assisted functionality expands from support activity into consequential workflow influence without revised approval, monitoring, or evidence expectations.</w:t>
      </w:r>
    </w:p>
    <w:p>
      <w:pPr>
        <w:pStyle w:val="ListBullet"/>
        <w:spacing w:after="100" w:lineRule="auto" w:line="250"/>
        <w:ind w:left="360" w:hanging="216"/>
      </w:pPr>
      <w:r>
        <w:rPr>
          <w:rFonts w:ascii="Aptos" w:hAnsi="Aptos" w:eastAsia="Aptos"/>
          <w:b/>
          <w:color w:val="1F2A37"/>
          <w:sz w:val="20"/>
        </w:rPr>
        <w:t xml:space="preserve">Evidence archaeology. </w:t>
      </w:r>
      <w:r>
        <w:rPr>
          <w:rFonts w:ascii="Aptos" w:hAnsi="Aptos" w:eastAsia="Aptos"/>
          <w:b w:val="0"/>
          <w:color w:val="1F2A37"/>
          <w:sz w:val="20"/>
        </w:rPr>
        <w:t>Teams can reconstruct what likely happened, but cannot produce contemporaneous records showing source, owner, period, decision, and approval context.</w:t>
      </w:r>
    </w:p>
    <w:p>
      <w:pPr>
        <w:keepNext/>
        <w:spacing w:before="280" w:after="100"/>
      </w:pPr>
      <w:r>
        <w:rPr>
          <w:rFonts w:ascii="Aptos Display" w:hAnsi="Aptos Display" w:eastAsia="Aptos Display"/>
          <w:b/>
          <w:color w:val="183153"/>
          <w:sz w:val="26"/>
        </w:rPr>
        <w:t>Lifecycle Standard</w:t>
      </w:r>
    </w:p>
    <w:p>
      <w:pPr>
        <w:spacing w:before="0" w:after="140" w:lineRule="auto" w:line="259"/>
      </w:pPr>
      <w:r>
        <w:rPr>
          <w:rFonts w:ascii="Aptos" w:hAnsi="Aptos" w:eastAsia="Aptos"/>
          <w:b w:val="0"/>
          <w:color w:val="1F2A37"/>
          <w:sz w:val="20"/>
        </w:rPr>
        <w:t>The governance lifecycle standard established by this framework is that governance remains valid only while its ownership, controls, escalation logic, evidence, and AI-use classifications remain aligned to current operating facts. Governance does not fail only when a control is missed. It also fails when a control continues to operate against an outdated process, when evidence survives without context, or when a temporary exception becomes the practical operating model.</w:t>
      </w:r>
    </w:p>
    <w:p>
      <w:pPr>
        <w:spacing w:before="0" w:after="0" w:lineRule="auto" w:line="259"/>
      </w:pPr>
      <w:r>
        <w:rPr>
          <w:rFonts w:ascii="Aptos" w:hAnsi="Aptos" w:eastAsia="Aptos"/>
          <w:b w:val="0"/>
          <w:color w:val="1F2A37"/>
          <w:sz w:val="20"/>
        </w:rPr>
        <w:t>Organizations implementing this framework preserve lifecycle integrity by treating change, drift, recurrence, and evidence decay as governance signals. The lifecycle is effective when the organization can explain not only what governance structure exists, but why it remains appropriate for the present operating environment and how it will be refreshed when that environment changes.</w:t>
      </w:r>
    </w:p>
    <w:sectPr w:rsidR="00FC693F" w:rsidRPr="0006063C" w:rsidSect="00034616">
      <w:footerReference w:type="default" r:id="rId9"/>
      <w:pgSz w:w="12240" w:h="15840"/>
      <w:pgMar w:top="936"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color w:val="4B5563"/>
        <w:sz w:val="16"/>
      </w:rPr>
      <w:t>Paladin Compliance Governance Binder | Section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A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Governance Lifecycle Concepts</dc:title>
  <dc:subject>Paladin Compliance Governance Binder</dc:subject>
  <dc:creator>Paladin Compliance</dc:creator>
  <cp:keywords>governance lifecycle, compliance, risk, evidence continuity, governance drift, AI-assisted workflows</cp:keywords>
  <dc:description>generated by python-docx</dc:description>
  <cp:lastModifiedBy/>
  <cp:revision>1</cp:revision>
  <dcterms:created xsi:type="dcterms:W3CDTF">2013-12-23T23:15:00Z</dcterms:created>
  <dcterms:modified xsi:type="dcterms:W3CDTF">2013-12-23T23:15:00Z</dcterms:modified>
  <cp:category/>
</cp:coreProperties>
</file>