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Aptos Display" w:hAnsi="Aptos Display" w:eastAsia="Aptos Display"/>
          <w:b/>
          <w:color w:val="183153"/>
          <w:sz w:val="44"/>
        </w:rPr>
        <w:t>1.5 Operational Accountability Principles</w:t>
      </w:r>
    </w:p>
    <w:p>
      <w:pPr>
        <w:spacing w:before="0" w:after="140" w:lineRule="auto" w:line="259"/>
      </w:pPr>
      <w:r>
        <w:rPr>
          <w:rFonts w:ascii="Aptos" w:hAnsi="Aptos" w:eastAsia="Aptos"/>
          <w:b w:val="0"/>
          <w:color w:val="1F2A37"/>
          <w:sz w:val="20"/>
        </w:rPr>
        <w:t>Operational accountability defines how responsibility remains attributable across execution, review, approval, evidence handling, escalation, and AI-assisted activity. This governance framework treats accountability as a traceable operating condition rather than a statement of general responsibility. Participation in a workflow, attendance at a meeting, receipt of a report, or awareness of an issue does not by itself establish accountable ownership.</w:t>
      </w:r>
    </w:p>
    <w:p>
      <w:pPr>
        <w:spacing w:before="0" w:after="140" w:lineRule="auto" w:line="259"/>
      </w:pPr>
      <w:r>
        <w:rPr>
          <w:rFonts w:ascii="Aptos" w:hAnsi="Aptos" w:eastAsia="Aptos"/>
          <w:b w:val="0"/>
          <w:color w:val="1F2A37"/>
          <w:sz w:val="20"/>
        </w:rPr>
        <w:t>Accountability is preserved when the organization can identify who performed the work, who reviewed it, who had authority to approve or reject it, what evidence supported the decision, and what conditions required escalation. A workflow participant may complete the operational task while lacking authority to determine whether the resulting evidence satisfies the obligation the task supports. A committee may discuss an issue without accepting ownership for closure. A delegated activity may be performed by a vendor or operational team while the organization retains accountability for the external commitment tied to that activity.</w:t>
      </w:r>
    </w:p>
    <w:p>
      <w:pPr>
        <w:spacing w:before="0" w:after="140" w:lineRule="auto" w:line="259"/>
      </w:pPr>
      <w:r>
        <w:rPr>
          <w:rFonts w:ascii="Aptos" w:hAnsi="Aptos" w:eastAsia="Aptos"/>
          <w:b w:val="0"/>
          <w:color w:val="1F2A37"/>
          <w:sz w:val="20"/>
        </w:rPr>
        <w:t>The framework recognizes that accountability is most likely to dilute during pressure events: incidents, customer deadlines, system migrations, staff turnover, vendor failures, and AI-assisted workflow expansion. In those conditions, informal dependency chains often replace documented authority. The accountability principles in this section are intended to prevent responsibility from becoming distributed so broadly that no party can be shown to own the decision, the evidence, or the unresolved exposure.</w:t>
      </w:r>
    </w:p>
    <w:p>
      <w:pPr>
        <w:keepNext/>
        <w:spacing w:before="280" w:after="100"/>
      </w:pPr>
      <w:r>
        <w:rPr>
          <w:rFonts w:ascii="Aptos Display" w:hAnsi="Aptos Display" w:eastAsia="Aptos Display"/>
          <w:b/>
          <w:color w:val="183153"/>
          <w:sz w:val="26"/>
        </w:rPr>
        <w:t>Accountability Operating Principles</w:t>
      </w:r>
    </w:p>
    <w:p>
      <w:pPr>
        <w:pStyle w:val="ListBullet"/>
        <w:spacing w:after="100" w:lineRule="auto" w:line="250"/>
        <w:ind w:left="360" w:hanging="216"/>
      </w:pPr>
      <w:r>
        <w:rPr>
          <w:rFonts w:ascii="Aptos" w:hAnsi="Aptos" w:eastAsia="Aptos"/>
          <w:b/>
          <w:color w:val="1F2A37"/>
          <w:sz w:val="20"/>
        </w:rPr>
        <w:t xml:space="preserve">Accountability is not the same as participation. </w:t>
      </w:r>
      <w:r>
        <w:rPr>
          <w:rFonts w:ascii="Aptos" w:hAnsi="Aptos" w:eastAsia="Aptos"/>
          <w:b w:val="0"/>
          <w:color w:val="1F2A37"/>
          <w:sz w:val="20"/>
        </w:rPr>
        <w:t>Contributing to a workflow, attending a review, or receiving status information does not create decision authority unless the role is explicitly assigned.</w:t>
      </w:r>
    </w:p>
    <w:p>
      <w:pPr>
        <w:pStyle w:val="ListBullet"/>
        <w:spacing w:after="100" w:lineRule="auto" w:line="250"/>
        <w:ind w:left="360" w:hanging="216"/>
      </w:pPr>
      <w:r>
        <w:rPr>
          <w:rFonts w:ascii="Aptos" w:hAnsi="Aptos" w:eastAsia="Aptos"/>
          <w:b/>
          <w:color w:val="1F2A37"/>
          <w:sz w:val="20"/>
        </w:rPr>
        <w:t xml:space="preserve">Delegated execution does not extinguish ownership. </w:t>
      </w:r>
      <w:r>
        <w:rPr>
          <w:rFonts w:ascii="Aptos" w:hAnsi="Aptos" w:eastAsia="Aptos"/>
          <w:b w:val="0"/>
          <w:color w:val="1F2A37"/>
          <w:sz w:val="20"/>
        </w:rPr>
        <w:t>A task may be performed by another team, vendor, or AI-assisted process, but accountability for the obligation remains with the designated owner.</w:t>
      </w:r>
    </w:p>
    <w:p>
      <w:pPr>
        <w:pStyle w:val="ListBullet"/>
        <w:spacing w:after="100" w:lineRule="auto" w:line="250"/>
        <w:ind w:left="360" w:hanging="216"/>
      </w:pPr>
      <w:r>
        <w:rPr>
          <w:rFonts w:ascii="Aptos" w:hAnsi="Aptos" w:eastAsia="Aptos"/>
          <w:b/>
          <w:color w:val="1F2A37"/>
          <w:sz w:val="20"/>
        </w:rPr>
        <w:t xml:space="preserve">Approval requires review basis. </w:t>
      </w:r>
      <w:r>
        <w:rPr>
          <w:rFonts w:ascii="Aptos" w:hAnsi="Aptos" w:eastAsia="Aptos"/>
          <w:b w:val="0"/>
          <w:color w:val="1F2A37"/>
          <w:sz w:val="20"/>
        </w:rPr>
        <w:t>An approval record is not meaningful if it does not show what was reviewed, which conditions applied, and whether exceptions were known at the time.</w:t>
      </w:r>
    </w:p>
    <w:p>
      <w:pPr>
        <w:pStyle w:val="ListBullet"/>
        <w:spacing w:after="100" w:lineRule="auto" w:line="250"/>
        <w:ind w:left="360" w:hanging="216"/>
      </w:pPr>
      <w:r>
        <w:rPr>
          <w:rFonts w:ascii="Aptos" w:hAnsi="Aptos" w:eastAsia="Aptos"/>
          <w:b/>
          <w:color w:val="1F2A37"/>
          <w:sz w:val="20"/>
        </w:rPr>
        <w:t xml:space="preserve">Escalation changes decision authority, not historical responsibility. </w:t>
      </w:r>
      <w:r>
        <w:rPr>
          <w:rFonts w:ascii="Aptos" w:hAnsi="Aptos" w:eastAsia="Aptos"/>
          <w:b w:val="0"/>
          <w:color w:val="1F2A37"/>
          <w:sz w:val="20"/>
        </w:rPr>
        <w:t>When a matter moves to a higher forum, prior owners remain accountable for the operational facts and evidence that led to escalation.</w:t>
      </w:r>
    </w:p>
    <w:p>
      <w:pPr>
        <w:keepNext/>
        <w:spacing w:before="280" w:after="100"/>
      </w:pPr>
      <w:r>
        <w:rPr>
          <w:rFonts w:ascii="Aptos Display" w:hAnsi="Aptos Display" w:eastAsia="Aptos Display"/>
          <w:b/>
          <w:color w:val="183153"/>
          <w:sz w:val="26"/>
        </w:rPr>
        <w:t>Accountability Taxonomy</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80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Accountability Type</w:t>
            </w:r>
          </w:p>
        </w:tc>
        <w:tc>
          <w:tcPr>
            <w:tcW w:type="dxa" w:w="230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Primary Responsibility</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Permitted Authority</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Boundary Condition</w:t>
            </w:r>
          </w:p>
        </w:tc>
        <w:tc>
          <w:tcPr>
            <w:tcW w:type="dxa" w:w="208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Operational Example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Execution accountability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Owns task completion, process timing, operational accuracy, and local variance explanation.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 correct routine defects and provide source evidence.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Cannot determine material risk acceptance for a control failure created by the same workflow.</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 team completes a reconciliation but cannot decide whether missing review evidence supports a customer attestation.</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Control accountability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Owns safeguard design, population accuracy, completion criteria, and exception review.</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 require retesting, evidence replacement, or control correction.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Cannot assume evidence remains sufficient after process, system, vendor, or AI-use changes.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 quarterly review occurs on time but omits users added through a new support platform.</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Governance accountability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Owns exposure classification, obligation interpretation, escalation routing, and closure challenge.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 determine whether the matter requires formal decision, revised evidence, or executive review.</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Cannot remediate resource constraints or operational design gaps without business authority.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Compliance identifies that an issue affects a contract commitment, but the business sponsor owns remediation priority.</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Approval accountability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Owns the decision to accept, reject, condition, or defer a governance position.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 approve within delegated authority and impose conditions for closure.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Cannot rely on passive awareness when the issue requires documented review and rationale.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 director is copied on an exception email, but no record shows approval of the residual exposure.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Evidence accountability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Owns retention, traceability, source integrity, and linkage between artifact and decision.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 define repository standards, naming discipline, and retrieval expectations.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Cannot make weak evidence sufficient by volume; proof must map to the decision or obligation.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Multiple screenshots exist, but none identify the reviewed population, period, owner, or approval context.</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AI-assisted accountability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Owns human reliance on AI output, review conditions, limitations, and override decisions.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 require human review points, output monitoring, and use-case reassessment.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Cannot transfer decision responsibility to a model, vendor tool, or automated recommendation.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An AI-ranked queue delays high-risk complaints, but no owner reviewed ranking logic or override patterns.</w:t>
            </w:r>
          </w:p>
        </w:tc>
      </w:tr>
    </w:tbl>
    <w:p>
      <w:pPr>
        <w:spacing w:after="40"/>
      </w:pPr>
    </w:p>
    <w:p>
      <w:pPr>
        <w:keepNext/>
        <w:spacing w:before="280" w:after="100"/>
      </w:pPr>
      <w:r>
        <w:rPr>
          <w:rFonts w:ascii="Aptos Display" w:hAnsi="Aptos Display" w:eastAsia="Aptos Display"/>
          <w:b/>
          <w:color w:val="183153"/>
          <w:sz w:val="26"/>
        </w:rPr>
        <w:t>Ownership and Participation Distinctions</w:t>
      </w:r>
    </w:p>
    <w:p>
      <w:pPr>
        <w:spacing w:before="0" w:after="140" w:lineRule="auto" w:line="259"/>
      </w:pPr>
      <w:r>
        <w:rPr>
          <w:rFonts w:ascii="Aptos" w:hAnsi="Aptos" w:eastAsia="Aptos"/>
          <w:b w:val="0"/>
          <w:color w:val="1F2A37"/>
          <w:sz w:val="20"/>
        </w:rPr>
        <w:t>Accountability is often weakened when participation is mistaken for ownership. The operating model distinguishes accountable owner, performer, reviewer, approver, informed party, and dependency owner. Each role may be necessary, but they do not carry the same decision rights. A participant may supply a data file, a reviewer may challenge evidence, and an approver may accept a risk; collapsing these roles into a broad group obscures who owns the outcome.</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58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Role</w:t>
            </w:r>
          </w:p>
        </w:tc>
        <w:tc>
          <w:tcPr>
            <w:tcW w:type="dxa" w:w="244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Accountability Meaning</w:t>
            </w:r>
          </w:p>
        </w:tc>
        <w:tc>
          <w:tcPr>
            <w:tcW w:type="dxa" w:w="230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Rights</w:t>
            </w:r>
          </w:p>
        </w:tc>
        <w:tc>
          <w:tcPr>
            <w:tcW w:type="dxa" w:w="230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Common Misread</w:t>
            </w:r>
          </w:p>
        </w:tc>
        <w:tc>
          <w:tcPr>
            <w:tcW w:type="dxa" w:w="216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Example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Accountable owner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Has final responsibility for the governed outcome or obligation.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assign work, require evidence, route escalation, and answer for unresolved exposure.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depend on contributors but cannot treat their participation as transfer of ownership.</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customer reporting owner remains accountable even when finance supplies the source data.</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Performer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Completes the task or produces the operational artifact.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execute assigned steps and identify practical constraints.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Lacks authority to decide that the resulting evidence satisfies an external obligation unless designated.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vendor uploads security evidence but cannot determine whether it meets the customer's audit clause.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Evaluates completeness, accuracy, control fit, or evidence sufficiency.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challenge defects, request correction, and document review findings.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 does not equal approval if decision authority sits elsewhere.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compliance analyst flags missing population data, but the control owner decides retesting scope.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Accepts a decision within defined authority and conditions.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approve, reject, condition, or defer a matter based on review evidence.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Awareness or silence is not approval when risk acceptance requires an explicit record.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sponsor attends a meeting where an exception is discussed but never approves the extension.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Informed party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Receives status because the matter may affect planning, communication, or downstream work.</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ask questions and prepare for impact.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Being copied on a decision record does not create accountability for the decision itself.</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Legal receives notice of a vendor issue but is not the owner of service continuity remediation.</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Dependency owner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Controls an input, system, vendor relationship, or data source needed by the accountable owner.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resolve the dependency or escalate inability to perform.</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block closure without owning the governed obligation.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Security owns access logs needed for a compliance control but does not own the compliance attestation.</w:t>
            </w:r>
          </w:p>
        </w:tc>
      </w:tr>
    </w:tbl>
    <w:p>
      <w:pPr>
        <w:spacing w:after="40"/>
      </w:pPr>
    </w:p>
    <w:p>
      <w:r>
        <w:br w:type="page"/>
      </w:r>
    </w:p>
    <w:p>
      <w:pPr>
        <w:keepNext/>
        <w:spacing w:before="280" w:after="100"/>
      </w:pPr>
      <w:r>
        <w:rPr>
          <w:rFonts w:ascii="Aptos Display" w:hAnsi="Aptos Display" w:eastAsia="Aptos Display"/>
          <w:b/>
          <w:color w:val="183153"/>
          <w:sz w:val="26"/>
        </w:rPr>
        <w:t>Delegated Authority and Retained Accountability</w:t>
      </w:r>
    </w:p>
    <w:p>
      <w:pPr>
        <w:spacing w:before="0" w:after="140" w:lineRule="auto" w:line="259"/>
      </w:pPr>
      <w:r>
        <w:rPr>
          <w:rFonts w:ascii="Aptos" w:hAnsi="Aptos" w:eastAsia="Aptos"/>
          <w:b w:val="0"/>
          <w:color w:val="1F2A37"/>
          <w:sz w:val="20"/>
        </w:rPr>
        <w:t>Delegation allows work to move to the team or party best positioned to perform it. It does not eliminate the need for an accountable owner with authority to define the expected result, evidence standard, and escalation condition. Delegation without retained accountability creates dependency chains where everyone performs a portion of the work and no one owns the governed outcome.</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757"/>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Delegation Pattern</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Operating Condition</w:t>
            </w:r>
          </w:p>
        </w:tc>
        <w:tc>
          <w:tcPr>
            <w:tcW w:type="dxa" w:w="230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Retained Accountability</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Failure Risk</w:t>
            </w:r>
          </w:p>
        </w:tc>
        <w:tc>
          <w:tcPr>
            <w:tcW w:type="dxa" w:w="213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Required Trace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Internal task delegation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process owner assigns operational steps to another team for timing, data preparation, or system execution.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Original owner retains obligation for outcome, completeness, and escalation of missed dependency.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performing team optimizes its local process while the governed deadline or evidence standard is missed.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Delegation record identifies performer, expected output, evidence format, deadline, and escalation contact.</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Vendor-performed activity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third party performs a control-adjacent service, hosts evidence, or supplies assurance material.</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owner retains accountability for vendor reliance and contractual assurance expectations.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vendor is blamed for failure even though no internal owner enforced evidence flow-down or timing.</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 issue log links requirement, requested artifact, due date, escalation path, and contingency decision.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Committee-assigned remediation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governance forum directs a function to remediate an issue or return with options.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Forum retains decision accountability until closure criteria are met or authority is transferred.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Action items age because the committee assumes assignment equals resolution.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record states owner, closure condition, review date, dependency, and unresolved authority question.</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AI-assisted execution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 output drafts, classifies, prioritizes, summarizes, or recommends within a governed process.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Human owner retains accountability for reliance, review, limitations, and final decision use.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model's output is treated as neutral operational fact instead of a decision-support artifact.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Use-case approval defines human review point, override evidence, output monitoring, and reassessment trigger.</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Emergency delegation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Incident conditions require temporary reassignment, manual workaround, or expedited approval.</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Delegating authority remains responsible for documenting rationale, expiration, and return-to-normal criteria.</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Temporary authority becomes permanent through convenience after the emergency passes.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Exception note records delegated scope, approver, duration, compensating control, and post-event review.</w:t>
            </w:r>
          </w:p>
        </w:tc>
      </w:tr>
    </w:tbl>
    <w:p>
      <w:pPr>
        <w:spacing w:after="40"/>
      </w:pPr>
    </w:p>
    <w:p>
      <w:r>
        <w:br w:type="page"/>
      </w:r>
    </w:p>
    <w:p>
      <w:pPr>
        <w:keepNext/>
        <w:spacing w:before="280" w:after="100"/>
      </w:pPr>
      <w:r>
        <w:rPr>
          <w:rFonts w:ascii="Aptos Display" w:hAnsi="Aptos Display" w:eastAsia="Aptos Display"/>
          <w:b/>
          <w:color w:val="183153"/>
          <w:sz w:val="26"/>
        </w:rPr>
        <w:t>Decision Attribution Structure</w:t>
      </w:r>
    </w:p>
    <w:p>
      <w:pPr>
        <w:spacing w:before="0" w:after="140" w:lineRule="auto" w:line="259"/>
      </w:pPr>
      <w:r>
        <w:rPr>
          <w:rFonts w:ascii="Aptos" w:hAnsi="Aptos" w:eastAsia="Aptos"/>
          <w:b w:val="0"/>
          <w:color w:val="1F2A37"/>
          <w:sz w:val="20"/>
        </w:rPr>
        <w:t>Decision attribution links a governance decision to the person or forum authorized to make it, the information considered, the conditions applied, and the evidence retained. Attribution protects the institution when a decision is later challenged by an auditor, customer, regulator, executive sponsor, or internal assurance function. It also prevents approval without review, where a record shows sign-off but not the basis for the sign-off.</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94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Attribution Element</w:t>
            </w:r>
          </w:p>
        </w:tc>
        <w:tc>
          <w:tcPr>
            <w:tcW w:type="dxa" w:w="302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Purpose</w:t>
            </w:r>
          </w:p>
        </w:tc>
        <w:tc>
          <w:tcPr>
            <w:tcW w:type="dxa" w:w="295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Expected Record</w:t>
            </w:r>
          </w:p>
        </w:tc>
        <w:tc>
          <w:tcPr>
            <w:tcW w:type="dxa" w:w="288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Breakdown Risk</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owner</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Who had authority to approve, reject, condition, or escalate the matter.</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Named role, forum, or delegated authority reference.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Group discussion obscures who accepted the outcome.</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scope</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What process, obligation, control, exception, vendor, AI use case, or period the decision covered.</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Scope statement, affected population, timeframe, included exclusions.</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Approval is reused beyond the matter actually reviewed.</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 basis</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What information was considered before the decision was made.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packet, issue summary, sample result, legal or compliance interpretation.</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Approver is recorded, but no proof shows what the approver saw.</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Known constraints</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What limitations, open dependencies, assumptions, or unresolved facts were present.</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Exception note, dependency register, risk acceptance condition, limitation statement.</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Later reviewers assume the decision was unconditional because caveats were not preserved.</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outcome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What was approved, rejected, deferred, escalated, or conditioned.</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log entry, committee minutes, approval record, closure instruction.</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Teams act on informal understanding rather than a shared final decision.</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Follow-through owner</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Who is accountable for implementing the decision and producing closure evidence.</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Action owner, due date, review forum, evidence requirement.</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decision is made but no operational party owns execution.</w:t>
            </w:r>
          </w:p>
        </w:tc>
      </w:tr>
    </w:tbl>
    <w:p>
      <w:pPr>
        <w:spacing w:after="40"/>
      </w:pPr>
    </w:p>
    <w:p>
      <w:pPr>
        <w:keepNext/>
        <w:spacing w:before="280" w:after="100"/>
      </w:pPr>
      <w:r>
        <w:rPr>
          <w:rFonts w:ascii="Aptos Display" w:hAnsi="Aptos Display" w:eastAsia="Aptos Display"/>
          <w:b/>
          <w:color w:val="183153"/>
          <w:sz w:val="26"/>
        </w:rPr>
        <w:t>Evidence-Linked Accountability</w:t>
      </w:r>
    </w:p>
    <w:p>
      <w:pPr>
        <w:spacing w:before="0" w:after="140" w:lineRule="auto" w:line="259"/>
      </w:pPr>
      <w:r>
        <w:rPr>
          <w:rFonts w:ascii="Aptos" w:hAnsi="Aptos" w:eastAsia="Aptos"/>
          <w:b w:val="0"/>
          <w:color w:val="1F2A37"/>
          <w:sz w:val="20"/>
        </w:rPr>
        <w:t>Evidence supports accountability only when it connects the operational fact to the decision being made. Evidence that proves a task occurred may not prove the task satisfied the obligation. A file export may show activity but not approval. A meeting note may show awareness but not acceptance. Evidence-linked accountability requires each material decision to retain enough context to show who acted, what was reviewed, and why the outcome was defensible at the time.</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757"/>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Evidence Category</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Accountability Function</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Typical Record</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Disconnect Risk</w:t>
            </w:r>
          </w:p>
        </w:tc>
        <w:tc>
          <w:tcPr>
            <w:tcW w:type="dxa" w:w="220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Control Response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Source artifact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Shows the operational fact or control result being relied upon.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System export, vendor report, access listing, queue record, AI output log.</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Artifact exists but does not identify population, date, source system, or owner.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Attach metadata or cover note before evidence is treated as complete.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 evidence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Shows that a qualified role evaluated the artifact against the control or obligation.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Reviewer initials, sample notes, exception analysis, validation checklist.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is stored without showing whether anyone assessed sufficiency.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Record reviewer, review date, scope, exceptions, and conclusion.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Approval evidence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Shows that a decision authority accepted, rejected, conditioned, or escalated the matter.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Approval record, committee decision, risk acceptance memo, escalation disposition.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Approver awareness is inferred from email distribution or meeting attendance.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Require explicit decision language and decision authority reference.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Closure evidence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Shows that remediation, exception expiration, or follow-through occurred.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Retest result, completed action record, updated control map, withdrawal of exception.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Issue is marked closed before the underlying evidence proves correction.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Require closure artifact tied to original issue, owner, and expected outcome.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 reliance evidence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Shows how AI output influenced the workflow and who accepted or overrode it.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Prompt/output record, review note, override log, model limitation statement.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rationale disappears behind automated recommendation language.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Preserve human review point, reliance boundary, and exception handling.</w:t>
            </w:r>
          </w:p>
        </w:tc>
      </w:tr>
    </w:tbl>
    <w:p>
      <w:pPr>
        <w:spacing w:after="40"/>
      </w:pPr>
    </w:p>
    <w:p>
      <w:pPr>
        <w:keepNext/>
        <w:spacing w:before="280" w:after="100"/>
      </w:pPr>
      <w:r>
        <w:rPr>
          <w:rFonts w:ascii="Aptos Display" w:hAnsi="Aptos Display" w:eastAsia="Aptos Display"/>
          <w:b/>
          <w:color w:val="183153"/>
          <w:sz w:val="26"/>
        </w:rPr>
        <w:t>Escalation Accountability Routing</w:t>
      </w:r>
    </w:p>
    <w:p>
      <w:pPr>
        <w:spacing w:before="0" w:after="140" w:lineRule="auto" w:line="259"/>
      </w:pPr>
      <w:r>
        <w:rPr>
          <w:rFonts w:ascii="Aptos" w:hAnsi="Aptos" w:eastAsia="Aptos"/>
          <w:b w:val="0"/>
          <w:color w:val="1F2A37"/>
          <w:sz w:val="20"/>
        </w:rPr>
        <w:t>Escalation moves decision authority to the level capable of resolving the exposure. It does not erase the responsibility of prior owners to provide facts, preserve evidence, and implement containment. Accountability routing distinguishes the owner of the event, the owner of the decision, the owner of remediation, and the owner of external communication. When those roles are not separated, incidents can stall while teams debate who is responsible.</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72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Escalation Condition</w:t>
            </w:r>
          </w:p>
        </w:tc>
        <w:tc>
          <w:tcPr>
            <w:tcW w:type="dxa" w:w="190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Initial Accountable Owner</w:t>
            </w:r>
          </w:p>
        </w:tc>
        <w:tc>
          <w:tcPr>
            <w:tcW w:type="dxa" w:w="252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Authority Route</w:t>
            </w:r>
          </w:p>
        </w:tc>
        <w:tc>
          <w:tcPr>
            <w:tcW w:type="dxa" w:w="252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Accountability Retained</w:t>
            </w:r>
          </w:p>
        </w:tc>
        <w:tc>
          <w:tcPr>
            <w:tcW w:type="dxa" w:w="213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Required Record</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Routine variance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 if timing, population, or evidence is affected.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 remains accountable for correction and retained source evidence.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Variance log with cause, correction, owner, and closure date.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degradation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review when the weakness is recurring, material, or externally relevant.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 retains design accountability; governance owns exposure classification.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Issue record, retest plan, affected population, escalation decision.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Obligation ambiguity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function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Legal, compliance leadership, or designated interpretation authority.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and control owners remain accountable for operational facts used in interpretation.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Applicability memo, source reference, impacted process list, decision owner.</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Customer-impacting issue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sponsor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oversight when communication, contract rights, or institutional posture are implicated.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Sponsor owns customer consequence; operational owner provides event record and evidence.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brief, customer impact assessment, communication decision, remediation owner.</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AI-assisted decision concern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Use-case owner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AI-use governance review and executive sponsor if consequential outcomes are affected.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Human owner retains accountability for reliance on output and review of limitations.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Use-case review, output sample, override evidence, monitoring condition.</w:t>
            </w:r>
          </w:p>
        </w:tc>
      </w:tr>
    </w:tbl>
    <w:p>
      <w:pPr>
        <w:spacing w:after="40"/>
      </w:pPr>
    </w:p>
    <w:p>
      <w:pPr>
        <w:keepNext/>
        <w:spacing w:before="280" w:after="100"/>
      </w:pPr>
      <w:r>
        <w:rPr>
          <w:rFonts w:ascii="Aptos Display" w:hAnsi="Aptos Display" w:eastAsia="Aptos Display"/>
          <w:b/>
          <w:color w:val="183153"/>
          <w:sz w:val="26"/>
        </w:rPr>
        <w:t>Accountability Continuity Model</w:t>
      </w:r>
    </w:p>
    <w:p>
      <w:pPr>
        <w:spacing w:before="0" w:after="140" w:lineRule="auto" w:line="259"/>
      </w:pPr>
      <w:r>
        <w:rPr>
          <w:rFonts w:ascii="Aptos" w:hAnsi="Aptos" w:eastAsia="Aptos"/>
          <w:b w:val="0"/>
          <w:color w:val="1F2A37"/>
          <w:sz w:val="20"/>
        </w:rPr>
        <w:t>Accountability continuity is the ability to preserve ownership through personnel changes, organizational restructuring, vendor transitions, platform migrations, and emergency workarounds. The accountable role may change, but the obligation, evidence, open issues, decision history, and escalation conditions must transfer with it. Without continuity, governance records may show an owner while the operating organization no longer understands who can make decisions.</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99"/>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Continuity Event</w:t>
            </w:r>
          </w:p>
        </w:tc>
        <w:tc>
          <w:tcPr>
            <w:tcW w:type="dxa" w:w="213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Operating Change</w:t>
            </w:r>
          </w:p>
        </w:tc>
        <w:tc>
          <w:tcPr>
            <w:tcW w:type="dxa" w:w="256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Accountability Transfer Requirement</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Continuity Evidence</w:t>
            </w:r>
          </w:p>
        </w:tc>
        <w:tc>
          <w:tcPr>
            <w:tcW w:type="dxa" w:w="217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Failure Pattern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Role transition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Owner changes through resignation, reassignment, promotion, or restructuring.</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Open issues, retained evidence, active exceptions, approval authority, and escalation contacts.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Outgoing and incoming owner acknowledgment, sponsor confirmation, updated register.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Documentation names an owner who no longer controls the workflow or decision.</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System migration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platform, data source, workflow queue, or user population changes.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population, evidence source, approval path, AI-use boundary, and monitoring signal.</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Migration control map, sample validation, revised evidence location.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Accountability remains attached to a legacy process while risk moves to the new environment.</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 transition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service provider changes, subcontracting model shifts, or hosted evidence moves.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Contractual obligations, assurance evidence, service dependencies, contingency owner.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Transition record, vendor evidence handoff, unresolved assurance gap log.</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organization assumes the new vendor inherited controls that were never tested.</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Incident response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Temporary authority, manual process, or expedited review is created under pressure.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authority, exception duration, compensating control, return-to-normal owner.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Incident decision log, delegated authority note, post-event review record.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Emergency ownership becomes permanent without review after the immediate pressure passes.</w:t>
            </w:r>
          </w:p>
        </w:tc>
      </w:tr>
    </w:tbl>
    <w:p>
      <w:pPr>
        <w:spacing w:after="40"/>
      </w:pPr>
    </w:p>
    <w:p>
      <w:r>
        <w:br w:type="page"/>
      </w:r>
    </w:p>
    <w:p>
      <w:pPr>
        <w:keepNext/>
        <w:spacing w:before="280" w:after="100"/>
      </w:pPr>
      <w:r>
        <w:rPr>
          <w:rFonts w:ascii="Aptos Display" w:hAnsi="Aptos Display" w:eastAsia="Aptos Display"/>
          <w:b/>
          <w:color w:val="183153"/>
          <w:sz w:val="26"/>
        </w:rPr>
        <w:t>AI-Assisted Accountability Limitations</w:t>
      </w:r>
    </w:p>
    <w:p>
      <w:pPr>
        <w:spacing w:before="0" w:after="140" w:lineRule="auto" w:line="259"/>
      </w:pPr>
      <w:r>
        <w:rPr>
          <w:rFonts w:ascii="Aptos" w:hAnsi="Aptos" w:eastAsia="Aptos"/>
          <w:b w:val="0"/>
          <w:color w:val="1F2A37"/>
          <w:sz w:val="20"/>
        </w:rPr>
        <w:t>AI-assisted workflows complicate accountability because they can influence decisions without appearing as decision-makers. A recommendation, ranking, summary, classification, or drafted response may affect human judgment even when the final action is nominally approved by a person. The governance record must therefore identify the human owner of reliance, not merely the user of the tool.</w:t>
      </w:r>
    </w:p>
    <w:p>
      <w:pPr>
        <w:spacing w:before="0" w:after="140" w:lineRule="auto" w:line="259"/>
      </w:pPr>
      <w:r>
        <w:rPr>
          <w:rFonts w:ascii="Aptos" w:hAnsi="Aptos" w:eastAsia="Aptos"/>
          <w:b w:val="0"/>
          <w:color w:val="1F2A37"/>
          <w:sz w:val="20"/>
        </w:rPr>
        <w:t>This framework does not treat AI output as accountable authority. The accountable owner remains responsible for use-case boundaries, data sensitivity, human review, override handling, and reassessment when output begins to influence more consequential activity. Model opacity, vendor configuration, automated confidence scores, and historical performance metrics do not replace decision attribution.</w:t>
      </w:r>
    </w:p>
    <w:p>
      <w:pPr>
        <w:keepNext/>
        <w:spacing w:before="280" w:after="100"/>
      </w:pPr>
      <w:r>
        <w:rPr>
          <w:rFonts w:ascii="Aptos Display" w:hAnsi="Aptos Display" w:eastAsia="Aptos Display"/>
          <w:b/>
          <w:color w:val="183153"/>
          <w:sz w:val="26"/>
        </w:rPr>
        <w:t>Cross-Functional Accountability Conflicts</w:t>
      </w:r>
    </w:p>
    <w:p>
      <w:pPr>
        <w:spacing w:before="0" w:after="140" w:lineRule="auto" w:line="259"/>
      </w:pPr>
      <w:r>
        <w:rPr>
          <w:rFonts w:ascii="Aptos" w:hAnsi="Aptos" w:eastAsia="Aptos"/>
          <w:b w:val="0"/>
          <w:color w:val="1F2A37"/>
          <w:sz w:val="20"/>
        </w:rPr>
        <w:t>Cross-functional work creates accountability conflicts when decision rights and operating dependencies are split across teams. A legal interpretation may require operational evidence. A customer response may require security proof. A control failure may require product redesign. The accountability model requires unresolved dependency conflicts to be routed to an authority that can assign ownership, set priority, or accept residual exposure.</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94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Conflict Pattern</w:t>
            </w:r>
          </w:p>
        </w:tc>
        <w:tc>
          <w:tcPr>
            <w:tcW w:type="dxa" w:w="273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How It Emerges</w:t>
            </w:r>
          </w:p>
        </w:tc>
        <w:tc>
          <w:tcPr>
            <w:tcW w:type="dxa" w:w="273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Operational Example</w:t>
            </w:r>
          </w:p>
        </w:tc>
        <w:tc>
          <w:tcPr>
            <w:tcW w:type="dxa" w:w="324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Accountability Resolution</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Shared ownership deadlock</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Two functions each own part of the process and neither can close the whole issue.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Customer reporting depends on finance data and compliance interpretation.</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sponsor assigns single accountable owner for the outcome and named dependency owners.</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Approval without review</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senior party approves based on summary language without reviewing evidence or known exceptions.</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signs a customer assurance response prepared from stale control evidence.</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packet identifies evidence reviewed, limitations, reviewer, and approval scope.</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authority bypass</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governance forum directs remediation without involving the team that controls the system or workflow.</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Committee requires control redesign, but the system owner is not assigned or funded.</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Escalation record separates decision authority, execution owner, funding owner, and review date.</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Informal dependency chain</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Work progresses through personal relationships instead of documented authority.</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manager asks a trusted analyst for recurring evidence outside the formal control path.</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Dependency is added to the ownership register with source system, due date, and escalation contact.</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Role ambiguity during incidents</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Containment, communication, evidence preservation, and remediation move faster than ownership assignment.</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 outage affects a reporting obligation while operations, legal, and customer teams wait on each other.</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Incident governance assigns event owner, decision owner, evidence owner, and communication owner separately.</w:t>
            </w:r>
          </w:p>
        </w:tc>
      </w:tr>
    </w:tbl>
    <w:p>
      <w:pPr>
        <w:spacing w:after="40"/>
      </w:pPr>
    </w:p>
    <w:p>
      <w:r>
        <w:br w:type="page"/>
      </w:r>
    </w:p>
    <w:p>
      <w:pPr>
        <w:keepNext/>
        <w:spacing w:before="280" w:after="100"/>
      </w:pPr>
      <w:r>
        <w:rPr>
          <w:rFonts w:ascii="Aptos Display" w:hAnsi="Aptos Display" w:eastAsia="Aptos Display"/>
          <w:b/>
          <w:color w:val="183153"/>
          <w:sz w:val="26"/>
        </w:rPr>
        <w:t>Accountability Failure Modes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Failure Mode</w:t>
            </w:r>
          </w:p>
        </w:tc>
        <w:tc>
          <w:tcPr>
            <w:tcW w:type="dxa" w:w="40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How It Appears</w:t>
            </w:r>
          </w:p>
        </w:tc>
        <w:tc>
          <w:tcPr>
            <w:tcW w:type="dxa" w:w="453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Governance Consequence</w:t>
            </w:r>
          </w:p>
        </w:tc>
      </w:tr>
      <w:tr>
        <w:trPr>
          <w:cantSplit/>
        </w:trPr>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Accountability dilution</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Responsibility is spread across a committee, project team, vendor, or distribution list.</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No party can be shown to own the outcome, evidence, or residual exposure.</w:t>
            </w:r>
          </w:p>
        </w:tc>
      </w:tr>
      <w:tr>
        <w:trPr>
          <w:cantSplit/>
        </w:trPr>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Delegation mistaken for transfer</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task is assigned to another team and the original owner stops monitoring outcome quality.</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obligation remains owned by one function while performance risk accumulates elsewhere.</w:t>
            </w:r>
          </w:p>
        </w:tc>
      </w:tr>
      <w:tr>
        <w:trPr>
          <w:cantSplit/>
        </w:trPr>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Approval without review</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sign-off is recorded without evidence of what was reviewed or what exceptions were known.</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approval cannot support audit, customer challenge, or internal assurance review.</w:t>
            </w:r>
          </w:p>
        </w:tc>
      </w:tr>
      <w:tr>
        <w:trPr>
          <w:cantSplit/>
        </w:trPr>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Escalation without ownership transfer</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 issue reaches a senior forum, but no one assigns decision owner, remediation owner, and evidence owner.</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matter is visible but unresolved, creating the appearance of governance without closure authority.</w:t>
            </w:r>
          </w:p>
        </w:tc>
      </w:tr>
      <w:tr>
        <w:trPr>
          <w:cantSplit/>
        </w:trPr>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Evidence-to-decision disconnect</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Artifacts are retained separately from the approval, interpretation, or risk acceptance they support.</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reviewer can see work occurred but cannot determine why the decision was appropriate.</w:t>
            </w:r>
          </w:p>
        </w:tc>
      </w:tr>
      <w:tr>
        <w:trPr>
          <w:cantSplit/>
        </w:trPr>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 reliance ambiguity</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Users act on model output without documenting human review, limitations, or override logic.</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organization cannot explain whether the final decision reflected accountable judgment or automated influence.</w:t>
            </w:r>
          </w:p>
        </w:tc>
      </w:tr>
      <w:tr>
        <w:trPr>
          <w:cantSplit/>
        </w:trPr>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accountability fatigue</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Teams receive so many ownership labels, action items, and review requests that accountability becomes administrative.</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Important ownership signals lose force and material issues compete with low-value tracking.</w:t>
            </w:r>
          </w:p>
        </w:tc>
      </w:tr>
    </w:tbl>
    <w:p>
      <w:pPr>
        <w:spacing w:after="40"/>
      </w:pPr>
    </w:p>
    <w:p>
      <w:pPr>
        <w:keepNext/>
        <w:spacing w:before="280" w:after="100"/>
      </w:pPr>
      <w:r>
        <w:rPr>
          <w:rFonts w:ascii="Aptos Display" w:hAnsi="Aptos Display" w:eastAsia="Aptos Display"/>
          <w:b/>
          <w:color w:val="183153"/>
          <w:sz w:val="26"/>
        </w:rPr>
        <w:t>Operational Accountability Standard</w:t>
      </w:r>
    </w:p>
    <w:p>
      <w:pPr>
        <w:spacing w:before="0" w:after="140" w:lineRule="auto" w:line="259"/>
      </w:pPr>
      <w:r>
        <w:rPr>
          <w:rFonts w:ascii="Aptos" w:hAnsi="Aptos" w:eastAsia="Aptos"/>
          <w:b w:val="0"/>
          <w:color w:val="1F2A37"/>
          <w:sz w:val="20"/>
        </w:rPr>
        <w:t>The operational accountability standard established by this framework is that material governance activity must remain attributable to identifiable owners, review roles, decision authorities, evidence records, and escalation paths. Accountability is preserved when delegated work retains an owner, approvals show review basis, escalation identifies decision authority, and evidence links the operational fact to the governance decision.</w:t>
      </w:r>
    </w:p>
    <w:p>
      <w:pPr>
        <w:spacing w:before="0" w:after="0" w:lineRule="auto" w:line="259"/>
      </w:pPr>
      <w:r>
        <w:rPr>
          <w:rFonts w:ascii="Aptos" w:hAnsi="Aptos" w:eastAsia="Aptos"/>
          <w:b w:val="0"/>
          <w:color w:val="1F2A37"/>
          <w:sz w:val="20"/>
        </w:rPr>
        <w:t>Organizations implementing this framework preserve accountability by distinguishing participation from ownership, awareness from approval, delegation from transfer, and AI assistance from decision authority. The model is effective when the organization can reconstruct a material decision without relying on memory: who owned the outcome, who performed the work, who reviewed the evidence, who approved the decision, what exceptions were known, and how unresolved exposure was routed.</w:t>
      </w:r>
    </w:p>
    <w:sectPr w:rsidR="00FC693F" w:rsidRPr="0006063C" w:rsidSect="00034616">
      <w:footerReference w:type="default" r:id="rId9"/>
      <w:pgSz w:w="12240" w:h="15840"/>
      <w:pgMar w:top="936"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val="0"/>
        <w:color w:val="4B5563"/>
        <w:sz w:val="16"/>
      </w:rPr>
      <w:t>Paladin Compliance Governance Binder | Section 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A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Operational Accountability Principles</dc:title>
  <dc:subject>Paladin Compliance Governance Binder</dc:subject>
  <dc:creator>Paladin Compliance</dc:creator>
  <cp:keywords>operational accountability, governance, compliance, evidence, AI-assisted workflows</cp:keywords>
  <dc:description>generated by python-docx</dc:description>
  <cp:lastModifiedBy/>
  <cp:revision>1</cp:revision>
  <dcterms:created xsi:type="dcterms:W3CDTF">2013-12-23T23:15:00Z</dcterms:created>
  <dcterms:modified xsi:type="dcterms:W3CDTF">2013-12-23T23:15:00Z</dcterms:modified>
  <cp:category/>
</cp:coreProperties>
</file>