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40"/>
      </w:pPr>
      <w:r>
        <w:rPr>
          <w:rFonts w:ascii="Aptos" w:hAnsi="Aptos" w:eastAsia="Aptos"/>
          <w:b/>
          <w:color w:val="17365D"/>
          <w:sz w:val="39"/>
        </w:rPr>
        <w:t>2.12 Vendor Governance Tiering, Dependency Classification, and Reliance Scaling</w:t>
      </w:r>
    </w:p>
    <w:p>
      <w:pPr>
        <w:spacing w:after="440"/>
      </w:pPr>
      <w:r>
        <w:rPr>
          <w:rFonts w:ascii="Aptos" w:hAnsi="Aptos" w:eastAsia="Aptos"/>
          <w:b/>
          <w:color w:val="5B6B84"/>
          <w:sz w:val="17"/>
        </w:rPr>
        <w:t>Paladin Compliance Governance Binder | Section II</w:t>
      </w:r>
    </w:p>
    <w:p>
      <w:pPr>
        <w:spacing w:after="120" w:line="254" w:lineRule="auto"/>
      </w:pPr>
      <w:r>
        <w:rPr>
          <w:rFonts w:ascii="Aptos" w:hAnsi="Aptos" w:eastAsia="Aptos"/>
          <w:b w:val="0"/>
          <w:color w:val="1F2937"/>
          <w:sz w:val="20"/>
        </w:rPr>
        <w:t>This section establishes governance expectations for vendor tiering, dependency classification, and reliance scaling across operational workflows, AI-enabled services, external platforms, managed providers, evidence-support functions, and governance-sensitive processing. The framework treats vendor criticality as a consequence condition rather than a procurement category. A provider becomes governance-significant when its service affects operational continuity, evidence reliability, decision outcomes, information propagation, representation posture, or institutional trust.</w:t>
      </w:r>
    </w:p>
    <w:p>
      <w:pPr>
        <w:spacing w:after="120" w:line="254" w:lineRule="auto"/>
      </w:pPr>
      <w:r>
        <w:rPr>
          <w:rFonts w:ascii="Aptos" w:hAnsi="Aptos" w:eastAsia="Aptos"/>
          <w:b w:val="0"/>
          <w:color w:val="1F2937"/>
          <w:sz w:val="20"/>
        </w:rPr>
        <w:t>Vendor governance tiering is not static. A provider may enter as an ordinary tool and become dependency-critical through workflow adoption, integration depth, AI-enabled recommendation, retained evidence, operational convenience, or reliance by executives, customers, partners, or oversight functions. Dependency can therefore scale faster than formal governance recognition. Organizations implementing this framework must classify vendors by what would fail, be distorted, become unreconstructable, or lose accountability if the provider changed, degraded, or became unavailable.</w:t>
      </w:r>
    </w:p>
    <w:p>
      <w:pPr>
        <w:spacing w:after="120" w:line="254" w:lineRule="auto"/>
      </w:pPr>
      <w:r>
        <w:rPr>
          <w:rFonts w:ascii="Aptos" w:hAnsi="Aptos" w:eastAsia="Aptos"/>
          <w:b w:val="0"/>
          <w:color w:val="1F2937"/>
          <w:sz w:val="20"/>
        </w:rPr>
        <w:t>The operating concern is dependency survivability. A vendor relationship is not governance-complete because the provider is known, contracted, reviewed, or technically integrated. Governance completeness requires explicit visibility into provider role, workflow consequence, reliance concentration, AI-enabled influence, evidence dependency, continuity options, maturity limitations, and escalation routes. Vendor oversight must scale with operational consequence, not vendor size, cost, familiarity, or procurement history.</w:t>
      </w:r>
    </w:p>
    <w:p>
      <w:pPr>
        <w:keepNext w:val="1"/>
        <w:spacing w:before="160" w:after="80"/>
      </w:pPr>
      <w:r>
        <w:rPr>
          <w:rFonts w:ascii="Aptos" w:hAnsi="Aptos" w:eastAsia="Aptos"/>
          <w:b/>
          <w:color w:val="17365D"/>
          <w:sz w:val="22"/>
        </w:rPr>
        <w:t>Vendor Governance Tiers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Vendor Tier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Role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Ordinary vendor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Provides replaceable product, administrative support, or low-consequence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Disruption creates inconvenience but does not alter governance posture.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basic owner, service record, and replacement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vendor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Supports recurring workflow, internal coordination, reporting, or task execution.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degradation can slow operations or create local workaround patterns.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Track workflow use, affected teams, and continuity procedure.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Dependency-critical vendor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failure materially disrupts service, evidence, timing, decision processing, or cross-functional coordination.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dependency may be discovered only during outage or provider change.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dependency map, fallback path, escalation owner, and service-change trigger.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Governance-critical vendor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evidence, assurance, escalation, representation, risk acceptance, or high-consequence decision path.</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behavior can shape institutional posture or weaken reconstruction capability.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governance owner, evidence lineage, reliance boundary, and executive visibility threshold.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AI-enabled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generates, summarizes, classifies, scores, routes, or recommends operational treatment.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output may influence decisions while appearing as ordinary vendor functionality.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approved use, output status, human review, and model-change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Externally mediated workflow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platform hosts or orchestrates workflow steps across teams, systems, or audiences.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hidden operational infrastructure with multi-system propagation impact.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Map process dependency, downstream exposure, continuity limit, and accountable owner.</w:t>
            </w:r>
          </w:p>
        </w:tc>
      </w:tr>
    </w:tbl>
    <w:p>
      <w:pPr>
        <w:spacing w:after="40"/>
      </w:pPr>
    </w:p>
    <w:p>
      <w:pPr>
        <w:keepNext w:val="1"/>
        <w:spacing w:before="160" w:after="80"/>
      </w:pPr>
      <w:r>
        <w:rPr>
          <w:rFonts w:ascii="Aptos" w:hAnsi="Aptos" w:eastAsia="Aptos"/>
          <w:b/>
          <w:color w:val="17365D"/>
          <w:sz w:val="22"/>
        </w:rPr>
        <w:t>Dependency Classification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Dependency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Defining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Example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Convenience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prefer the provider because it improves speed, usability, or coordination.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Shared workspace is used instead of source system for daily updates.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Confirm information boundary and fallback work method.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dependency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embedded in routine task sequence, handoff, or queue management.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Ticketing platform routes exceptions between teams.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Map workflow role, owner, outage path, and alternative routing.</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produces or retains records that support governance assertions or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report becomes source for control status or completion evidence.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provenance, retention, source basis, and reconstruction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dependency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affects approval, prioritization, closure, eligibility, or escalation.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AI-enabled vendor score determines which items receive manual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decision owner, override route, and output validation.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or provider-hosted artifacts inform external, executive, or assurance communications.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dashboard is cited in customer status response.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 statement boundary, freshness, and evidence support.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dependency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availability or behavior determines whether critical operations can continue.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Managed service controls workflow access during incident response.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continuity trigger, recovery plan, and escalation contact.</w:t>
            </w:r>
          </w:p>
        </w:tc>
      </w:tr>
    </w:tbl>
    <w:p>
      <w:pPr>
        <w:spacing w:after="40"/>
      </w:pPr>
    </w:p>
    <w:p>
      <w:pPr>
        <w:keepNext/>
        <w:spacing w:before="260" w:after="120"/>
      </w:pPr>
      <w:r>
        <w:rPr>
          <w:rFonts w:ascii="Aptos" w:hAnsi="Aptos" w:eastAsia="Aptos"/>
          <w:b/>
          <w:color w:val="17365D"/>
          <w:sz w:val="30"/>
        </w:rPr>
        <w:t>Reliance Scaling and Vendor Consequence Categorization</w:t>
      </w:r>
    </w:p>
    <w:p>
      <w:pPr>
        <w:spacing w:after="120" w:line="254" w:lineRule="auto"/>
      </w:pPr>
      <w:r>
        <w:rPr>
          <w:rFonts w:ascii="Aptos" w:hAnsi="Aptos" w:eastAsia="Aptos"/>
          <w:b w:val="0"/>
          <w:color w:val="1F2937"/>
          <w:sz w:val="20"/>
        </w:rPr>
        <w:t>Reliance scaling occurs when the institution's dependence on a provider increases in consequence, scope, audience, or decision influence. The change may be gradual: a vendor tool becomes a workflow system, a workflow system becomes a reporting source, a reporting source becomes evidence support, and evidence support becomes the basis for external assurance. Governance intensity must increase as reliance expands, even where vendor cost, contract status, or technical integration appears unchanged.</w:t>
      </w:r>
    </w:p>
    <w:p>
      <w:pPr>
        <w:spacing w:after="120" w:line="254" w:lineRule="auto"/>
      </w:pPr>
      <w:r>
        <w:rPr>
          <w:rFonts w:ascii="Aptos" w:hAnsi="Aptos" w:eastAsia="Aptos"/>
          <w:b w:val="0"/>
          <w:color w:val="1F2937"/>
          <w:sz w:val="20"/>
        </w:rPr>
        <w:t>Vendor consequence categorization evaluates what institutional function the provider performs. Ordinary vendor evaluation often focuses on service availability, contractual terms, cost, and operational satisfaction. Governance-aware categorization asks whether provider failure, feature change, output distortion, data propagation, or opaque processing could affect decisions, evidence, accountability, assurance, confidentiality, escalation, or public trust. The category must reflect operational consequence rather than vendor label.</w:t>
      </w:r>
    </w:p>
    <w:p>
      <w:pPr>
        <w:keepNext w:val="1"/>
        <w:spacing w:before="160" w:after="80"/>
      </w:pPr>
      <w:r>
        <w:rPr>
          <w:rFonts w:ascii="Aptos" w:hAnsi="Aptos" w:eastAsia="Aptos"/>
          <w:b/>
          <w:color w:val="17365D"/>
          <w:sz w:val="22"/>
        </w:rPr>
        <w:t>Reliance Scaling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Reliance Stage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Signal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Treatment Adjustment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Use-case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a defined task or limited workflow.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Impact remains within known operational boundary.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owner, permitted use, and replacement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embedded in routine process sequence or handoff.</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 slows or shifts to workaround when provider is unavailable.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Add workflow map, continuity method, and change trigger.</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supports review, assertion, metric, or audit-support material.</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Records generated outside institution become evidence source.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source basis, retention, lineage, and reviewability.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signal influences prioritization, approval, denial, closure, or escalation.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Human judgment is shaped by external output.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accountable decision owner and override expectation.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is reused in executive, customer, partner, investor, or public-facing communication.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 audiences infer confidence from provider-generated material.</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through evidence steward and representation authority.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Institutional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behavior affects continuity, trust posture, assurance, or residual exposure.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part of governance operating architecture.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governance-critical tiering and senior escalation threshold.</w:t>
            </w:r>
          </w:p>
        </w:tc>
      </w:tr>
    </w:tbl>
    <w:p>
      <w:pPr>
        <w:spacing w:after="40"/>
      </w:pPr>
    </w:p>
    <w:p>
      <w:pPr>
        <w:keepNext w:val="1"/>
        <w:spacing w:before="160" w:after="80"/>
      </w:pPr>
      <w:r>
        <w:rPr>
          <w:rFonts w:ascii="Aptos" w:hAnsi="Aptos" w:eastAsia="Aptos"/>
          <w:b/>
          <w:color w:val="17365D"/>
          <w:sz w:val="22"/>
        </w:rPr>
        <w:t>Vendor Consequence Categories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Consequence Category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Is Affected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Marker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Administrative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Convenience, scheduling, procurement, or low-risk support activity.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loss creates manual effort but not material exposure.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ordinary vendor record and substitution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Workload, queue timing, coordination, service continuity, or internal execution.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disruption causes process delay or local workaround.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Track dependency, owner, recovery method, and exception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Information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Sensitive information handling, propagation, metadata, or derived exposure.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receives context beyond original workflow boundary.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data movement, minimization, and downstream visibility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Records, attestations, logs, reports, or artifacts supporting governance assertions.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becomes evidence or replaces source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lineage, artifact status, and reconstruction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affects prioritization, risk treatment, approval, denial, closure, or escalation.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logic changes which items receive human attention.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human authority, override record, and decision traceability.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Trust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influences external confidence, assurance, institutional credibility, or representation.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Provider-hosted signal appears in customer or executive assurance channel.</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Escalate to representation review and governance owner.</w:t>
            </w:r>
          </w:p>
        </w:tc>
      </w:tr>
    </w:tbl>
    <w:p>
      <w:pPr>
        <w:spacing w:after="40"/>
      </w:pPr>
    </w:p>
    <w:p>
      <w:pPr>
        <w:keepNext w:val="1"/>
        <w:spacing w:before="160" w:after="80"/>
      </w:pPr>
      <w:r>
        <w:rPr>
          <w:rFonts w:ascii="Aptos" w:hAnsi="Aptos" w:eastAsia="Aptos"/>
          <w:b/>
          <w:color w:val="17365D"/>
          <w:sz w:val="22"/>
        </w:rPr>
        <w:t>Governance-Critical Vendor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Vendor Role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Governance-Critical Feature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Example Exposure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Governance Discipline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Evidence-support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Creates or retains records used to support governance assertions.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export is treated as proof of completion without source caveats.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evidence sufficiency review and source linkage.</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Decision-support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Generates recommendations, scores, classifications, or routing logic.</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Low-score items avoid review despite external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decision owner, challenge route, and sampled validation.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Representation-support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Produces dashboards, summaries, or statements used by external or senior audiences.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Customer-facing status depends on provider-generated metric.</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 audience, claim, limitation, and freshness.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Workflow-orchestration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Coordinates handoffs, queues, notifications, or operational sequencing.</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outage disrupts escalation path and evidence capture.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continuity plan and alternate routing.</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Sensitive-processing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Processes restricted, confidential, governance-sensitive, or aggregated context.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feature centralizes information from multiple workflows.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minimization, visibility boundary, and downstream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AI-enabled governance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Automates narrative, triage, prioritization, evidence preparation, or exception classification.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rationale becomes accepted review language.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AI output, reviewer disposition, and authority boundary.</w:t>
            </w:r>
          </w:p>
        </w:tc>
      </w:tr>
    </w:tbl>
    <w:p>
      <w:pPr>
        <w:spacing w:after="40"/>
      </w:pPr>
    </w:p>
    <w:p>
      <w:pPr>
        <w:keepNext/>
        <w:spacing w:before="260" w:after="120"/>
      </w:pPr>
      <w:r>
        <w:rPr>
          <w:rFonts w:ascii="Aptos" w:hAnsi="Aptos" w:eastAsia="Aptos"/>
          <w:b/>
          <w:color w:val="17365D"/>
          <w:sz w:val="30"/>
        </w:rPr>
        <w:t>Dependency-Aware Oversight and Provider Maturity</w:t>
      </w:r>
    </w:p>
    <w:p>
      <w:pPr>
        <w:spacing w:after="120" w:line="254" w:lineRule="auto"/>
      </w:pPr>
      <w:r>
        <w:rPr>
          <w:rFonts w:ascii="Aptos" w:hAnsi="Aptos" w:eastAsia="Aptos"/>
          <w:b w:val="0"/>
          <w:color w:val="1F2937"/>
          <w:sz w:val="20"/>
        </w:rPr>
        <w:t>Dependency-aware oversight evaluates whether the provider relationship remains institutionally survivable as reliance scales. Oversight must consider operational role, evidence function, AI-enabled influence, continuity dependency, information propagation, provider change velocity, and the institution's ability to maintain accountable decisions when provider outputs are unavailable, delayed, changed, or disputed. Vendor oversight that remains administrative while reliance becomes operational will understate governance exposure.</w:t>
      </w:r>
    </w:p>
    <w:p>
      <w:pPr>
        <w:spacing w:after="120" w:line="254" w:lineRule="auto"/>
      </w:pPr>
      <w:r>
        <w:rPr>
          <w:rFonts w:ascii="Aptos" w:hAnsi="Aptos" w:eastAsia="Aptos"/>
          <w:b w:val="0"/>
          <w:color w:val="1F2937"/>
          <w:sz w:val="20"/>
        </w:rPr>
        <w:t>Provider maturity is contextual. A provider may be mature for ordinary workflow support while immature for high-consequence decision support, evidence generation, restricted automation, or external representation. Governance classification therefore requires use-case maturity, not only provider-wide confidence. A mature platform can still create governance weakness if a specific service feature lacks lineage, output limitation, override support, change visibility, or continuity planning.</w:t>
      </w:r>
    </w:p>
    <w:p>
      <w:pPr>
        <w:keepNext w:val="1"/>
        <w:spacing w:before="160" w:after="80"/>
      </w:pPr>
      <w:r>
        <w:rPr>
          <w:rFonts w:ascii="Aptos" w:hAnsi="Aptos" w:eastAsia="Aptos"/>
          <w:b/>
          <w:color w:val="17365D"/>
          <w:sz w:val="22"/>
        </w:rPr>
        <w:t>Operational Criticality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Suggests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 stops when provider is unavailable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has become operational infrastructure.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dependency may be higher than vendor tier indicates.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Reclassify dependency and document fallback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is copied into decisions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 signal is shaping institutional treatment.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accountability may become externally mediated.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decision-owner adoption and source limitation.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dashboard is treated as current truth</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Reporting reliance has displaced source-system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Stale or incomplete provider data may create false confidence.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Reconcile dashboard to source population and freshness.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bypass source systems through vendor tool</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Convenience dependency has changed workflow reality.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 controls may no longer cover practiced process.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Update workflow map and control scope.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feature changes alter routing or priority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change velocity affects operational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 may lag behind service configuration.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Add service-change trigger and approval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records are needed for reconstruction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dependency exists even if provider is not operationally critical.</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Loss of provider history weakens accountability and assurance.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Confirm retention, export, and evidence survivability.</w:t>
            </w:r>
          </w:p>
        </w:tc>
      </w:tr>
    </w:tbl>
    <w:p>
      <w:pPr>
        <w:spacing w:after="40"/>
      </w:pPr>
    </w:p>
    <w:p>
      <w:pPr>
        <w:keepNext w:val="1"/>
        <w:spacing w:before="160" w:after="80"/>
      </w:pPr>
      <w:r>
        <w:rPr>
          <w:rFonts w:ascii="Aptos" w:hAnsi="Aptos" w:eastAsia="Aptos"/>
          <w:b/>
          <w:color w:val="17365D"/>
          <w:sz w:val="22"/>
        </w:rPr>
        <w:t>Provider Maturity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Maturity Dimension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Mature Provider Behavior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Weakness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Institutional Test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transparency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explains relevant processing, change behavior, and service limitations.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Institution cannot determine how output or routing is produced.</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decision owner explain provider influence on treatment?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support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records retain source basis, timestamp, scope, and exportability.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artifacts appear complete but lack provenance.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evidence be reconstructed without provider personnel?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support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fallback, outage communication, export, and recovery sequencing.</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Operations depend on provider availability without alternate path.</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workflow continue at acceptable governance quality?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AI-output reviewability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or scored outputs retain context, version, limitation, and reviewer disposition.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output becomes portable assertion without traceability.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reviewer distinguish source fact from generated interpretation?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visibility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Feature, model, integration, or processing changes are communicated before governance consequence occurs.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changes workflow treatment silently.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the institution detect when service behavior changes?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Boundary compatibility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audience, data, retention, and workflow segmentation.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design encourages broad visibility or context pooling.</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sensitive use cases remain compartmentalized?</w:t>
            </w:r>
          </w:p>
        </w:tc>
      </w:tr>
    </w:tbl>
    <w:p>
      <w:pPr>
        <w:spacing w:after="40"/>
      </w:pPr>
    </w:p>
    <w:p>
      <w:pPr>
        <w:keepNext w:val="1"/>
        <w:spacing w:before="160" w:after="80"/>
      </w:pPr>
      <w:r>
        <w:rPr>
          <w:rFonts w:ascii="Aptos" w:hAnsi="Aptos" w:eastAsia="Aptos"/>
          <w:b/>
          <w:color w:val="17365D"/>
          <w:sz w:val="22"/>
        </w:rPr>
        <w:t>Vendor Governance Treatment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Treatment Area</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Expectation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Tier assignment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tier reflects consequence, reliance, evidence role, AI influence, and continuity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under-classification of operationally critical providers.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treated as ordinary until disruption reveals dependency.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 map</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role is mapped to workflows, systems, evidence, decisions, and audiences.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Supports continuity and escalation across functions.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No single owner can identify what the provider supports.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trigger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feature, model, integration, scope, or processing change initiates governance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Keeps governance aligned with service evolution.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feature adoption changes workflow without reassessment.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plan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method, export path, owner, and degraded-mode expectations are defined.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Preserves operational and evidence survivability.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improvise workarounds that bypass governance controls.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status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material is labeled as source record, transformed output, recommendation, or representation support.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external output from becoming unreviewed authority.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narrative is reused as final rationale.</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Oversight cadence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 frequency scales with consequence, reliance concentration, and provider change velocity.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high-dependency relationships from receiving routine review only.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Oversight remains calendar-driven despite reliance growth.</w:t>
            </w:r>
          </w:p>
        </w:tc>
      </w:tr>
    </w:tbl>
    <w:p>
      <w:pPr>
        <w:spacing w:after="40"/>
      </w:pPr>
    </w:p>
    <w:p>
      <w:pPr>
        <w:keepNext w:val="1"/>
        <w:spacing w:before="160" w:after="80"/>
      </w:pPr>
      <w:r>
        <w:rPr>
          <w:rFonts w:ascii="Aptos" w:hAnsi="Aptos" w:eastAsia="Aptos"/>
          <w:b/>
          <w:color w:val="17365D"/>
          <w:sz w:val="22"/>
        </w:rPr>
        <w:t>Dependency Escalation Thresholds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Escalation Threshold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Trigger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Why Escalation Is Required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evidence source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artifact supports governance assertion, review, or assurance.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sufficiency and lineage now depend on external system.</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evidence steward and governance owner.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affects decision path</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Score, classification, recommendation, or routing changes treatment.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Accountability remains institutional while logic is externally mediated.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decision owner and AI-use reviewer where applicable.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external representation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dashboard, report, or narrative enters customer, executive, or partner communication.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Audience reliance exceeds ordinary operational use.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representation authority and evidence reviewer.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disruption creates workaround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shift to manual, informal, or untracked process when provider fails.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response may bypass evidence and accountability controls.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operational owner and continuity governance.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changes service behavior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Feature, integration, model, data flow, or processing changes materially affect workflow.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Existing governance boundary may no longer reflect operating reality.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vendor owner and affected process owner.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Reliance concentrates in one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Multiple workflows, evidence records, or decisions depend on a single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Single provider failure can create institutional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governance forum for dependency treatment.</w:t>
            </w:r>
          </w:p>
        </w:tc>
      </w:tr>
    </w:tbl>
    <w:p>
      <w:pPr>
        <w:spacing w:after="40"/>
      </w:pPr>
    </w:p>
    <w:p>
      <w:pPr>
        <w:keepNext/>
        <w:spacing w:before="260" w:after="120"/>
      </w:pPr>
      <w:r>
        <w:rPr>
          <w:rFonts w:ascii="Aptos" w:hAnsi="Aptos" w:eastAsia="Aptos"/>
          <w:b/>
          <w:color w:val="17365D"/>
          <w:sz w:val="30"/>
        </w:rPr>
        <w:t>Reliance Concentration and Continuity Scaling</w:t>
      </w:r>
    </w:p>
    <w:p>
      <w:pPr>
        <w:spacing w:after="120" w:line="254" w:lineRule="auto"/>
      </w:pPr>
      <w:r>
        <w:rPr>
          <w:rFonts w:ascii="Aptos" w:hAnsi="Aptos" w:eastAsia="Aptos"/>
          <w:b w:val="0"/>
          <w:color w:val="1F2937"/>
          <w:sz w:val="20"/>
        </w:rPr>
        <w:t>Reliance concentration occurs when multiple operational functions, evidence records, decision pathways, reporting outputs, or external representations become dependent on the same provider. Concentration may be hidden because each team sees only its local use. The governance consequence appears when provider failure, feature change, data quality issue, or AI output distortion affects several workflows at once. Reliance concentration therefore requires cross-functional mapping, not only vendor owner awareness.</w:t>
      </w:r>
    </w:p>
    <w:p>
      <w:pPr>
        <w:spacing w:after="120" w:line="254" w:lineRule="auto"/>
      </w:pPr>
      <w:r>
        <w:rPr>
          <w:rFonts w:ascii="Aptos" w:hAnsi="Aptos" w:eastAsia="Aptos"/>
          <w:b w:val="0"/>
          <w:color w:val="1F2937"/>
          <w:sz w:val="20"/>
        </w:rPr>
        <w:t>Continuity scaling differentiates between providers that can be replaced after inconvenience, providers that require degraded-mode operation, and providers whose disruption changes institutional posture. A governance-critical provider may not be expensive or visible; it may be a small service that controls routing, evidence capture, summarization, scheduling, identity of work queues, or status reporting. Continuity expectations must reflect consequence concentration and reconstruction requirements.</w:t>
      </w:r>
    </w:p>
    <w:p>
      <w:pPr>
        <w:keepNext w:val="1"/>
        <w:spacing w:before="160" w:after="80"/>
      </w:pPr>
      <w:r>
        <w:rPr>
          <w:rFonts w:ascii="Aptos" w:hAnsi="Aptos" w:eastAsia="Aptos"/>
          <w:b/>
          <w:color w:val="17365D"/>
          <w:sz w:val="22"/>
        </w:rPr>
        <w:t>Reliance Concentration Pathways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Pathway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How Reliance Concentrates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Countermeasure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consolidation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Multiple teams standardize around one vendor platform for case or task management.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outage disrupts several processes simultaneously.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dependency map and degraded-mode workflow.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consolidation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reports or logs become common evidence source across controls.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 data quality issue affects multiple assertions.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Validate source lineage and export survivability.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output consolidation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One AI-enabled service summarizes, scores, or classifies across workflows.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Shared model behavior shapes many decisions at once.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Sample outputs across use cases and preserve overrides.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Dashboard consolidation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dashboard becomes primary status signal for oversight.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Green status can mask source exclusions across functions.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Tie dashboard to population scope and freshness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consolidation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material supports repeated customer or executive statements.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Trust posture becomes dependent on external artifact quality.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representation boundary and evidence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consolidation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operations depend on the same provider or integration as normal operations.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Degraded mode fails when the provider fails.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independent fallback and recovery sequencing.</w:t>
            </w:r>
          </w:p>
        </w:tc>
      </w:tr>
    </w:tbl>
    <w:p>
      <w:pPr>
        <w:spacing w:after="40"/>
      </w:pPr>
    </w:p>
    <w:p>
      <w:pPr>
        <w:keepNext w:val="1"/>
        <w:spacing w:before="160" w:after="80"/>
      </w:pPr>
      <w:r>
        <w:rPr>
          <w:rFonts w:ascii="Aptos" w:hAnsi="Aptos" w:eastAsia="Aptos"/>
          <w:b/>
          <w:color w:val="17365D"/>
          <w:sz w:val="22"/>
        </w:rPr>
        <w:t>Vendor Continuity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Continuity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Disruption Consequence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Expected Preparation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Replaceable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can be substituted without material workflow or evidence disruption.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alternate provider or manual substitute.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Tier may remain ordinary if sensitive information is not propagated.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Degradable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can continue at slower pace with manual or reduced-function method.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degraded-mode owner, records, and communication path.</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Manual fallback may not preserve evidence quality.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Time-sensitive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Delay affects obligation timing, customer reliance, escalation, or operational commitment.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timing threshold, escalation owner, and status limitation.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Late recognition narrows institutional response options.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Evidence-preserving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records are needed to reconstruct decisions, review, or assurance.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export path, retention check, and source linkage.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Outage or termination creates evidence archaeology.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Decision-sensitive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shapes prioritization, closure, approval, or escalation.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human decision authority and alternate disposition process.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signal becomes hidden authority during disruption.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Governance-critical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failure affects institutional trust, representation, continuity, or residual exposure.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governance escalation, executive threshold, and continuity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restoration occurs without governance consequence review.</w:t>
            </w:r>
          </w:p>
        </w:tc>
      </w:tr>
    </w:tbl>
    <w:p>
      <w:pPr>
        <w:spacing w:after="40"/>
      </w:pPr>
    </w:p>
    <w:p>
      <w:pPr>
        <w:keepNext w:val="1"/>
        <w:spacing w:before="160" w:after="80"/>
      </w:pPr>
      <w:r>
        <w:rPr>
          <w:rFonts w:ascii="Aptos" w:hAnsi="Aptos" w:eastAsia="Aptos"/>
          <w:b/>
          <w:color w:val="17365D"/>
          <w:sz w:val="22"/>
        </w:rPr>
        <w:t>Dependency Survivability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Survivability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Meaning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Minimum Evidence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Pattern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Role clarity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function within workflow, evidence, decision, or representation is explicit.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role map, owner, affected functions, and use case.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known but its governance function is not.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viability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Alternative process can operate with acceptable accountability and evidence quality.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procedure, test record, owner, and limitation.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invent workarounds during disruption.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reconstructability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output can be traced to source, method, timing, and reviewer disposition.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sample, source basis, version, and disposition record.</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output remains but rationale cannot be explained.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detectability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Institution can identify provider changes affecting workflow, AI behavior, data movement, or evidence.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notification path, review trigger, and affected use cases.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behavior changes silently.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Reliance boundary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Internal and external use of provider output remains within approved audience and purpose.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Audience register, statement boundary, and representation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report becomes broad assurance signal.</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Exit continuity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transition preserves necessary records, historical context, and governance reconstruction.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Export plan, retention needs, migration map, and closeout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exit leaves incomplete institutional memory.</w:t>
            </w:r>
          </w:p>
        </w:tc>
      </w:tr>
    </w:tbl>
    <w:p>
      <w:pPr>
        <w:spacing w:after="40"/>
      </w:pPr>
    </w:p>
    <w:p>
      <w:pPr>
        <w:keepNext/>
        <w:spacing w:before="260" w:after="120"/>
      </w:pPr>
      <w:r>
        <w:rPr>
          <w:rFonts w:ascii="Aptos" w:hAnsi="Aptos" w:eastAsia="Aptos"/>
          <w:b/>
          <w:color w:val="17365D"/>
          <w:sz w:val="30"/>
        </w:rPr>
        <w:t>AI-Enabled Vendors and Governance-Critical Dependency Formation</w:t>
      </w:r>
    </w:p>
    <w:p>
      <w:pPr>
        <w:spacing w:after="120" w:line="254" w:lineRule="auto"/>
      </w:pPr>
      <w:r>
        <w:rPr>
          <w:rFonts w:ascii="Aptos" w:hAnsi="Aptos" w:eastAsia="Aptos"/>
          <w:b w:val="0"/>
          <w:color w:val="1F2937"/>
          <w:sz w:val="20"/>
        </w:rPr>
        <w:t>AI-enabled providers increasingly become operational infrastructure because they summarize work, prioritize queues, classify exceptions, draft communications, prepare evidence, recommend treatment, and surface status across integrated systems. Dependency can form gradually through convenience. A tool adopted for drafting may become the main way teams understand source material; a scoring feature may become the practical route into human review; a generated status narrative may become the basis for external communication.</w:t>
      </w:r>
    </w:p>
    <w:p>
      <w:pPr>
        <w:spacing w:after="120" w:line="254" w:lineRule="auto"/>
      </w:pPr>
      <w:r>
        <w:rPr>
          <w:rFonts w:ascii="Aptos" w:hAnsi="Aptos" w:eastAsia="Aptos"/>
          <w:b w:val="0"/>
          <w:color w:val="1F2937"/>
          <w:sz w:val="20"/>
        </w:rPr>
        <w:t>AI-enabled vendor reliance is governance-sensitive because provider-generated outputs can shape institutional treatment while remaining framed as support functionality. Providers may influence evidence, prioritization, escalation, representation, and decision confidence. Organizations often discover dependency criticality after disruption, model behavior change, degraded output quality, loss of history, or inability to reconstruct how a vendor-generated recommendation shaped the final decision.</w:t>
      </w:r>
    </w:p>
    <w:p>
      <w:pPr>
        <w:keepNext w:val="1"/>
        <w:spacing w:before="160" w:after="80"/>
      </w:pPr>
      <w:r>
        <w:rPr>
          <w:rFonts w:ascii="Aptos" w:hAnsi="Aptos" w:eastAsia="Aptos"/>
          <w:b/>
          <w:color w:val="17365D"/>
          <w:sz w:val="22"/>
        </w:rPr>
        <w:t>AI-Enabled Provider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Provider Classification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AI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Boundary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drafting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Generates communications, closure notes, rationale, or executive summaries.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language may become representation or decision rationale.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Label draft status and require reviewer adoption.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triage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Classifies, routes, or prioritizes work items and exceptions.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Model logic may determine who receives timely attention.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Track excluded population, override, and escalation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evidence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Summarizes, extracts, or packages evidence artifacts.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Source caveats can be compressed into clean evidence narrative.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provenance, transformation record, and limitation.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recommendation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Suggests approval, denial, remediation, risk treatment, or next action.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Recommendation can anchor human judgment.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accountable decision owner and alternatives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monitoring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Detects anomalies, scores risk, or generates oversight signals.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False coherence may create overconfidence in governance posture.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Validate signal quality and scope assumptions.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orchestration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Sequences tasks, triggers workflows, or synchronizes cross-system action.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hidden routing infrastructure.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continuity plan, change trigger, and authority boundary.</w:t>
            </w:r>
          </w:p>
        </w:tc>
      </w:tr>
    </w:tbl>
    <w:p>
      <w:pPr>
        <w:spacing w:after="40"/>
      </w:pPr>
    </w:p>
    <w:p>
      <w:pPr>
        <w:keepNext w:val="1"/>
        <w:spacing w:before="160" w:after="80"/>
      </w:pPr>
      <w:r>
        <w:rPr>
          <w:rFonts w:ascii="Aptos" w:hAnsi="Aptos" w:eastAsia="Aptos"/>
          <w:b/>
          <w:color w:val="17365D"/>
          <w:sz w:val="22"/>
        </w:rPr>
        <w:t>Provider Influence Amplification Patterns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Influence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How It Develops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Corrective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Recommendation normalization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Reviewers repeatedly accept vendor-generated recommendations.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Human authority becomes formal but not substantive.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Sample decisions and require challenge evidence.</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Narrative dependence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summaries become primary way stakeholders understand facts.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Source nuance, uncertainty, and caveats disappear.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source review for high-consequence narratives.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Routing dependence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classifications determine queue path or escalation visibility.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Low-volume high-consequence issues may be suppressed.</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Add consequence flags and manual escalation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substitution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Vendor-prepared evidence replaces source-system validation.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appears complete while lineage weakens.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source-to-output traceability.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smoothing</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dashboards or language make unstable conditions appear coherent.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 or executive reliance exceeds evidence support.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Qualify representation and review freshness.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concealment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Operations appear resilient until provider function is unavailable.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 criticality is discovered during disruption.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Test degraded mode and update tiering.</w:t>
            </w:r>
          </w:p>
        </w:tc>
      </w:tr>
    </w:tbl>
    <w:p>
      <w:pPr>
        <w:spacing w:after="40"/>
      </w:pPr>
    </w:p>
    <w:p>
      <w:pPr>
        <w:keepNext w:val="1"/>
        <w:spacing w:before="160" w:after="80"/>
      </w:pPr>
      <w:r>
        <w:rPr>
          <w:rFonts w:ascii="Aptos" w:hAnsi="Aptos" w:eastAsia="Aptos"/>
          <w:b/>
          <w:color w:val="17365D"/>
          <w:sz w:val="22"/>
        </w:rPr>
        <w:t>Governance-Aware Provider Oversight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Oversight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Use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Weakness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Tier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Confirms vendor tier against current operational consequence and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Detects reliance scaling beyond prior classification.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remains under-classified.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Maps provider to workflow, evidence, decision, information, and continuity functions.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Identifies cross-functional concentration.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Each team sees only local dependence.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Samples provider-generated reports, AI outputs, scores, summaries, or evidence artifacts.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Tests whether output remains reliable for its governance use.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output becomes trusted by repetition.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Evaluates provider changes affecting features, integrations, AI behavior, or data movement.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service evolution from bypassing governance.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New feature becomes operational without reassessment.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Tests fallback, export, retention, and degraded operation.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Preserves operations and reconstruction after disruption.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Recovery focuses on service restoration only.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Reliance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Evaluates whether provider outputs are used by broader internal or external audiences.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Controls assurance, representation, and trust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artifacts quietly become public trust signals.</w:t>
            </w:r>
          </w:p>
        </w:tc>
      </w:tr>
    </w:tbl>
    <w:p>
      <w:pPr>
        <w:spacing w:after="40"/>
      </w:pPr>
    </w:p>
    <w:p>
      <w:pPr>
        <w:keepNext/>
        <w:spacing w:before="260" w:after="120"/>
      </w:pPr>
      <w:r>
        <w:rPr>
          <w:rFonts w:ascii="Aptos" w:hAnsi="Aptos" w:eastAsia="Aptos"/>
          <w:b/>
          <w:color w:val="17365D"/>
          <w:sz w:val="30"/>
        </w:rPr>
        <w:t>Vendor Tiering and Dependency Governance Operating Standard</w:t>
      </w:r>
    </w:p>
    <w:p>
      <w:pPr>
        <w:spacing w:after="120" w:line="254" w:lineRule="auto"/>
      </w:pPr>
      <w:r>
        <w:rPr>
          <w:rFonts w:ascii="Aptos" w:hAnsi="Aptos" w:eastAsia="Aptos"/>
          <w:b w:val="0"/>
          <w:color w:val="1F2937"/>
          <w:sz w:val="20"/>
        </w:rPr>
        <w:t>Vendor governance under this framework shall be tiered according to operational consequence, dependency criticality, evidence role, decision influence, information propagation, continuity exposure, representation use, AI-enabled functionality, and institutional reliance. Organizations implementing this framework shall distinguish ordinary vendor, operational vendor, dependency-critical vendor, governance-critical vendor, AI-enabled provider, externally mediated workflow provider, operational dependency, governance dependency, and vendor-assisted governance function.</w:t>
      </w:r>
    </w:p>
    <w:p>
      <w:pPr>
        <w:spacing w:after="120" w:line="254" w:lineRule="auto"/>
      </w:pPr>
      <w:r>
        <w:rPr>
          <w:rFonts w:ascii="Aptos" w:hAnsi="Aptos" w:eastAsia="Aptos"/>
          <w:b w:val="0"/>
          <w:color w:val="1F2937"/>
          <w:sz w:val="20"/>
        </w:rPr>
        <w:t>Vendor tiering shall be reassessed when provider use expands, workflow dependency increases, provider output becomes evidence, AI-enabled functionality influences treatment, external audiences rely on provider-generated material, provider disruption produces informal workaround, or multiple functions become dependent on the same service. Tiering shall not remain fixed merely because procurement status, cost, ownership, or contract category has not changed.</w:t>
      </w:r>
    </w:p>
    <w:p>
      <w:pPr>
        <w:spacing w:after="120" w:line="254" w:lineRule="auto"/>
      </w:pPr>
      <w:r>
        <w:rPr>
          <w:rFonts w:ascii="Aptos" w:hAnsi="Aptos" w:eastAsia="Aptos"/>
          <w:b w:val="0"/>
          <w:color w:val="1F2937"/>
          <w:sz w:val="20"/>
        </w:rPr>
        <w:t>Dependency governance shall preserve provider role clarity, fallback viability, output reconstructability, change detectability, reliance boundary, continuity plan, evidence lineage, and accountable ownership. Where vendors assist governance functions, the organization shall retain institutional accountability for decisions, representations, evidence sufficiency, escalation timing, and residual exposure.</w:t>
      </w:r>
    </w:p>
    <w:p>
      <w:pPr>
        <w:spacing w:after="120" w:line="254" w:lineRule="auto"/>
      </w:pPr>
      <w:r>
        <w:rPr>
          <w:rFonts w:ascii="Aptos" w:hAnsi="Aptos" w:eastAsia="Aptos"/>
          <w:b w:val="0"/>
          <w:color w:val="1F2937"/>
          <w:sz w:val="20"/>
        </w:rPr>
        <w:t>The operating standard for this section is dependency-aware vendor governance. AI-enabled vendor services shall be governed according to the consequence of their outputs and their influence on workflow behavior. AI-generated summaries, classifications, scores, recommendations, monitoring signals, evidence packages, or orchestration actions shall not silently become institutional authority. Governance is sufficient only when reliance is scaled to consequence, provider outputs remain bounded by evidence and authority, continuity expectations are tested, and decision attribution remains reconstructable.</w:t>
      </w:r>
    </w:p>
    <w:sectPr w:rsidR="00FC693F" w:rsidRPr="0006063C" w:rsidSect="00034616">
      <w:footerReference w:type="default" r:id="rId9"/>
      <w:pgSz w:w="12240" w:h="15840"/>
      <w:pgMar w:top="1037" w:right="792" w:bottom="792" w:left="79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b w:val="0"/>
        <w:color w:val="5B6B84"/>
        <w:sz w:val="16"/>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