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Rule="auto" w:line="240"/>
      </w:pPr>
      <w:r>
        <w:rPr>
          <w:rFonts w:ascii="Aptos Display" w:hAnsi="Aptos Display" w:eastAsia="Aptos Display"/>
          <w:b/>
          <w:color w:val="17365D"/>
          <w:sz w:val="38"/>
        </w:rPr>
        <w:t>2.1 Sensitive Information, AI Systems, and Operational Exposure</w:t>
      </w:r>
    </w:p>
    <w:p>
      <w:pPr>
        <w:spacing w:before="0" w:after="240" w:lineRule="auto" w:line="240"/>
      </w:pPr>
      <w:r>
        <w:rPr>
          <w:rFonts w:ascii="Aptos" w:hAnsi="Aptos" w:eastAsia="Aptos"/>
          <w:b/>
          <w:color w:val="66758A"/>
          <w:sz w:val="17"/>
        </w:rPr>
        <w:t>Paladin Compliance Governance Binder | Section II</w:t>
      </w:r>
    </w:p>
    <w:p>
      <w:pPr>
        <w:spacing w:before="0" w:after="100" w:lineRule="auto" w:line="252"/>
      </w:pPr>
      <w:r>
        <w:rPr>
          <w:rFonts w:ascii="Aptos" w:hAnsi="Aptos" w:eastAsia="Aptos"/>
          <w:b w:val="0"/>
          <w:color w:val="2F3A4A"/>
          <w:sz w:val="18"/>
        </w:rPr>
        <w:t>This section establishes the operational governance treatment of sensitive information when ordinary workflows, AI-assisted systems, third-party services, generated outputs, and internal decision processes interact. The objective is not to convert information governance into a technical control catalogue. The objective is to define how organizations implementing this framework identify exposure, preserve confidentiality posture, and keep handling expectations aligned with actual work.</w:t>
      </w:r>
    </w:p>
    <w:p>
      <w:pPr>
        <w:spacing w:before="0" w:after="100" w:lineRule="auto" w:line="252"/>
      </w:pPr>
      <w:r>
        <w:rPr>
          <w:rFonts w:ascii="Aptos" w:hAnsi="Aptos" w:eastAsia="Aptos"/>
          <w:b w:val="0"/>
          <w:color w:val="2F3A4A"/>
          <w:sz w:val="18"/>
        </w:rPr>
        <w:t>Sensitive information is not determined only by label, repository, legal category, or system boundary. Sensitivity may arise from workflow context, aggregation, timing, audience, operational dependency, decision consequence, or the ability of a recipient to infer institutional conditions from partial information. A vendor queue summary, exception list, draft customer response, or AI-generated operational narrative may carry more exposure than its source fields suggest.</w:t>
      </w:r>
    </w:p>
    <w:p>
      <w:pPr>
        <w:spacing w:before="0" w:after="100" w:lineRule="auto" w:line="252"/>
      </w:pPr>
      <w:r>
        <w:rPr>
          <w:rFonts w:ascii="Aptos" w:hAnsi="Aptos" w:eastAsia="Aptos"/>
          <w:b w:val="0"/>
          <w:color w:val="2F3A4A"/>
          <w:sz w:val="18"/>
        </w:rPr>
        <w:t>AI-assisted workflows alter exposure because they can summarize, classify, transform, route, prioritize, and regenerate information outside the ordinary patterns by which employees historically recognized confidentiality. A prompt may contain sensitive context. A generated answer may reconstruct internal assumptions. A summary may remove caveats. A queue classifier may expose operational priority through metadata, routing, or workflow sequencing.</w:t>
      </w:r>
    </w:p>
    <w:p>
      <w:pPr>
        <w:spacing w:before="0" w:after="160" w:lineRule="auto" w:line="252"/>
      </w:pPr>
      <w:r>
        <w:rPr>
          <w:rFonts w:ascii="Aptos" w:hAnsi="Aptos" w:eastAsia="Aptos"/>
          <w:b w:val="0"/>
          <w:color w:val="2F3A4A"/>
          <w:sz w:val="18"/>
        </w:rPr>
        <w:t>The governance model established by this binder treats sensitive information handling as an operational accountability issue. Information exposure must be evaluated against how data moves through work, who can see it, what systems transform it, what outputs are retained, how third parties process it, and whether evidence can later reconstruct the handling path. Convenience, speed, and automation do not remove responsibility for exposure-aware governance.</w:t>
      </w:r>
    </w:p>
    <w:p>
      <w:pPr>
        <w:spacing w:before="160" w:after="40" w:lineRule="auto" w:line="240"/>
        <w:keepNext/>
      </w:pPr>
      <w:r>
        <w:rPr>
          <w:rFonts w:ascii="Aptos" w:hAnsi="Aptos" w:eastAsia="Aptos"/>
          <w:b/>
          <w:color w:val="17365D"/>
          <w:sz w:val="19"/>
        </w:rPr>
        <w:t>Sensitive Information Categories</w:t>
      </w:r>
    </w:p>
    <w:tbl>
      <w:tblPr>
        <w:tblStyle w:val="TableGrid"/>
        <w:tblW w:type="pct" w:w="5000"/>
        <w:jc w:val="center"/>
        <w:tblLayout w:type="fixed"/>
        <w:tblLook w:firstColumn="1" w:firstRow="1" w:lastColumn="0" w:lastRow="0" w:noHBand="0" w:noVBand="1" w:val="04A0"/>
      </w:tblPr>
      <w:tblGrid>
        <w:gridCol w:w="1944"/>
        <w:gridCol w:w="3384"/>
        <w:gridCol w:w="3024"/>
        <w:gridCol w:w="2736"/>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Category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Context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Primary Exposure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Handling Expectation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Public information</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materials intended for broad distribution, public pages, published descriptions, or customer-facing non-sensitive statements.</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Misuse usually arises from outdated, partial, or context-free reuse rather than initial disclosure.</w:t>
            </w:r>
          </w:p>
        </w:tc>
        <w:tc>
          <w:tcPr>
            <w:tcW w:type="dxa" w:w="273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currency, approved source, and whether later aggregation changes the representation.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operational information</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Queue status, staffing notes, process timings, vendor coordination, draft responses, internal routing, or routine operational metrics.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Can expose capacity, unresolved dependency, customer impact, or control weakness when shared outside its intended audience.</w:t>
            </w:r>
          </w:p>
        </w:tc>
        <w:tc>
          <w:tcPr>
            <w:tcW w:type="dxa" w:w="273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access by workflow need and review before external reuse, AI summarization, or cross-functional circulation.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information</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whose disclosure could affect customers, partners, employees, vendors, operations, trust, negotiation position, or institutional reputation.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Exposure may arise through fragments, summaries, copied screenshots, informal messages, or generated narratives.</w:t>
            </w:r>
          </w:p>
        </w:tc>
        <w:tc>
          <w:tcPr>
            <w:tcW w:type="dxa" w:w="273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contextual confidentiality, evidence retention, and approval discipline before transfer or transformation.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information</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requiring narrower access due to operational consequence, contractual sensitivity, investigation status, incident context, or executive reliance.</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Small audience expansion can create material exposure or distort accountability for response decisions.</w:t>
            </w:r>
          </w:p>
        </w:tc>
        <w:tc>
          <w:tcPr>
            <w:tcW w:type="dxa" w:w="273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named ownership, deliberate routing, access justification, and escalation when handling assumptions change.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Regulated information</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subject to formal handling expectations based on applicable obligations, customer commitments, or institutional classification rules.</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teams may treat it as ordinary workflow content after extraction, summary, or AI-assisted processing.</w:t>
            </w:r>
          </w:p>
        </w:tc>
        <w:tc>
          <w:tcPr>
            <w:tcW w:type="dxa" w:w="273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classification through transformation, ensure traceability, and avoid downstream use without reassessment.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Governance-sensitive information</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gaps, exception trends, control weakness, unresolved exposure, decision rationale, assurance limits, or verification status.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May not fit common data categories while still affecting institutional trust and reliance.</w:t>
            </w:r>
          </w:p>
        </w:tc>
        <w:tc>
          <w:tcPr>
            <w:tcW w:type="dxa" w:w="273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visibility by consequence, preserve decision context, and avoid broad summaries that convert limitation into assurance.</w:t>
            </w:r>
          </w:p>
        </w:tc>
      </w:tr>
    </w:tbl>
    <w:p>
      <w:pPr>
        <w:spacing w:before="0" w:after="20" w:lineRule="auto" w:line="252"/>
      </w:pPr>
    </w:p>
    <w:p>
      <w:pPr>
        <w:spacing w:before="160" w:after="40" w:lineRule="auto" w:line="240"/>
        <w:keepNext/>
      </w:pPr>
      <w:r>
        <w:rPr>
          <w:rFonts w:ascii="Aptos" w:hAnsi="Aptos" w:eastAsia="Aptos"/>
          <w:b/>
          <w:color w:val="17365D"/>
          <w:sz w:val="19"/>
        </w:rPr>
        <w:t>Information Sensitivity Classification Model</w:t>
      </w:r>
    </w:p>
    <w:tbl>
      <w:tblPr>
        <w:tblStyle w:val="TableGrid"/>
        <w:tblW w:type="pct" w:w="5000"/>
        <w:jc w:val="center"/>
        <w:tblLayout w:type="fixed"/>
        <w:tblLook w:firstColumn="1" w:firstRow="1" w:lastColumn="0" w:lastRow="0" w:noHBand="0" w:noVBand="1" w:val="04A0"/>
      </w:tblPr>
      <w:tblGrid>
        <w:gridCol w:w="1728"/>
        <w:gridCol w:w="3456"/>
        <w:gridCol w:w="3240"/>
        <w:gridCol w:w="2664"/>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Classification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Typical Indicators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Handling Discipline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Escalation Condition</w:t>
            </w:r>
          </w:p>
        </w:tc>
      </w:tr>
      <w:tr>
        <w:trPr>
          <w:cantSplit/>
        </w:trPr>
        <w:tc>
          <w:tcPr>
            <w:tcW w:type="dxa" w:w="172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Open</w:t>
            </w:r>
          </w:p>
        </w:tc>
        <w:tc>
          <w:tcPr>
            <w:tcW w:type="dxa" w:w="345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Content is approved for broad reuse and remains accurate without operational context.</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source language and refresh before republication or external response reuse.</w:t>
            </w:r>
          </w:p>
        </w:tc>
        <w:tc>
          <w:tcPr>
            <w:tcW w:type="dxa" w:w="266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open content becomes tied to assurance, verification, or active customer reliance.</w:t>
            </w:r>
          </w:p>
        </w:tc>
      </w:tr>
      <w:tr>
        <w:trPr>
          <w:cantSplit/>
        </w:trPr>
        <w:tc>
          <w:tcPr>
            <w:tcW w:type="dxa" w:w="172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w:t>
            </w:r>
          </w:p>
        </w:tc>
        <w:tc>
          <w:tcPr>
            <w:tcW w:type="dxa" w:w="345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supports ordinary execution but reveals workflow state, queue posture, internal contacts, or process design.</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within operational audience, avoid unmanaged AI input, and prevent externalized screenshots or copied summaries.</w:t>
            </w:r>
          </w:p>
        </w:tc>
        <w:tc>
          <w:tcPr>
            <w:tcW w:type="dxa" w:w="266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if internal content is requested by customers, vendors, investors, or public channels.</w:t>
            </w:r>
          </w:p>
        </w:tc>
      </w:tr>
      <w:tr>
        <w:trPr>
          <w:cantSplit/>
        </w:trPr>
        <w:tc>
          <w:tcPr>
            <w:tcW w:type="dxa" w:w="172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w:t>
            </w:r>
          </w:p>
        </w:tc>
        <w:tc>
          <w:tcPr>
            <w:tcW w:type="dxa" w:w="345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Disclosure could affect trust, negotiations, obligations, operational continuity, or customer confidence.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owner review, contextual handling notes, output retention, and audience control.</w:t>
            </w:r>
          </w:p>
        </w:tc>
        <w:tc>
          <w:tcPr>
            <w:tcW w:type="dxa" w:w="266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summarization, aggregation, or third-party processing changes exposure scale.</w:t>
            </w:r>
          </w:p>
        </w:tc>
      </w:tr>
      <w:tr>
        <w:trPr>
          <w:cantSplit/>
        </w:trPr>
        <w:tc>
          <w:tcPr>
            <w:tcW w:type="dxa" w:w="172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w:t>
            </w:r>
          </w:p>
        </w:tc>
        <w:tc>
          <w:tcPr>
            <w:tcW w:type="dxa" w:w="345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Content involves unresolved incidents, material exceptions, executive decision options, confidential dependencies, or contested facts.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narrow routing, explicit approval, and documented rationale for transformation or disclosure.</w:t>
            </w:r>
          </w:p>
        </w:tc>
        <w:tc>
          <w:tcPr>
            <w:tcW w:type="dxa" w:w="266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if authority, remediation funding, or external representation is implicated.</w:t>
            </w:r>
          </w:p>
        </w:tc>
      </w:tr>
      <w:tr>
        <w:trPr>
          <w:cantSplit/>
        </w:trPr>
        <w:tc>
          <w:tcPr>
            <w:tcW w:type="dxa" w:w="172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Governance-critical</w:t>
            </w:r>
          </w:p>
        </w:tc>
        <w:tc>
          <w:tcPr>
            <w:tcW w:type="dxa" w:w="345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Content supports assurance, verification, control evidence, formal response, or accountable decision reconstruction.</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provenance, transformation path, limitation language, and final representation basis.</w:t>
            </w:r>
          </w:p>
        </w:tc>
        <w:tc>
          <w:tcPr>
            <w:tcW w:type="dxa" w:w="266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evidence is incomplete, stale, transformed by AI, or detached from governed population.</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Operational Exposure Pathways</w:t>
      </w:r>
    </w:p>
    <w:p>
      <w:pPr>
        <w:spacing w:before="0" w:after="100" w:lineRule="auto" w:line="252"/>
      </w:pPr>
      <w:r>
        <w:rPr>
          <w:rFonts w:ascii="Aptos" w:hAnsi="Aptos" w:eastAsia="Aptos"/>
          <w:b w:val="0"/>
          <w:color w:val="2F3A4A"/>
          <w:sz w:val="18"/>
        </w:rPr>
        <w:t>Operational exposure often emerges through ordinary handling rather than deliberate disclosure. Teams export data for review, paste excerpts into messages, upload documents into productivity tools, summarize sensitive content for leadership, or rely on third-party systems to route work. Each action may appear practical in isolation while creating broader visibility, retention, inference, or reconstruction concerns.</w:t>
      </w:r>
    </w:p>
    <w:p>
      <w:pPr>
        <w:spacing w:before="0" w:after="160" w:lineRule="auto" w:line="252"/>
      </w:pPr>
      <w:r>
        <w:rPr>
          <w:rFonts w:ascii="Aptos" w:hAnsi="Aptos" w:eastAsia="Aptos"/>
          <w:b w:val="0"/>
          <w:color w:val="2F3A4A"/>
          <w:sz w:val="18"/>
        </w:rPr>
        <w:t>This framework evaluates exposure pathways by the operational conditions under which information moves. A low-sensitivity data element may become sensitive when paired with customer identity, exception status, timestamp, capacity metric, vendor dependency, or unresolved control condition. Exposure-aware governance therefore requires attention to movement, transformation, audience, and persistence, not only source classification.</w:t>
      </w:r>
    </w:p>
    <w:p>
      <w:pPr>
        <w:spacing w:before="160" w:after="40" w:lineRule="auto" w:line="240"/>
        <w:keepNext/>
      </w:pPr>
      <w:r>
        <w:rPr>
          <w:rFonts w:ascii="Aptos" w:hAnsi="Aptos" w:eastAsia="Aptos"/>
          <w:b/>
          <w:color w:val="17365D"/>
          <w:sz w:val="19"/>
        </w:rPr>
        <w:t>Operational Exposure Pathways</w:t>
      </w:r>
    </w:p>
    <w:tbl>
      <w:tblPr>
        <w:tblStyle w:val="TableGrid"/>
        <w:tblW w:type="pct" w:w="5000"/>
        <w:jc w:val="center"/>
        <w:tblLayout w:type="fixed"/>
        <w:tblLook w:firstColumn="1" w:firstRow="1" w:lastColumn="0" w:lastRow="0" w:noHBand="0" w:noVBand="1" w:val="04A0"/>
      </w:tblPr>
      <w:tblGrid>
        <w:gridCol w:w="1872"/>
        <w:gridCol w:w="3096"/>
        <w:gridCol w:w="3168"/>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Pathway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How Exposure Emerges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AI-Enabled Amplifier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Consideration</w:t>
            </w:r>
          </w:p>
        </w:tc>
      </w:tr>
      <w:tr>
        <w:trPr>
          <w:cantSplit/>
        </w:trPr>
        <w:tc>
          <w:tcPr>
            <w:tcW w:type="dxa" w:w="187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inclusion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include customer details, exception history, internal rationale, or operational constraints to obtain useful output.</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Model interaction can transform a narrow workflow question into retained or reusable context.</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Classify prompts by workflow sensitivity and restrict high-consequence inputs to approved environments.</w:t>
            </w:r>
          </w:p>
        </w:tc>
      </w:tr>
      <w:tr>
        <w:trPr>
          <w:cantSplit/>
        </w:trPr>
        <w:tc>
          <w:tcPr>
            <w:tcW w:type="dxa" w:w="187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circulation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compressed narrative travels farther than the underlying evidence because it appears easier to review.</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summaries may omit caveats, uncertainty, minority facts, or evidence limitations.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linkage and limitation retention when summaries support decisions or external statements.</w:t>
            </w:r>
          </w:p>
        </w:tc>
      </w:tr>
      <w:tr>
        <w:trPr>
          <w:cantSplit/>
        </w:trPr>
        <w:tc>
          <w:tcPr>
            <w:tcW w:type="dxa" w:w="187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 export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status leaves its original permission model through spreadsheets, screenshots, or shared presentations.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Automated dashboard synthesis can combine unrelated indicators into inferable posture signals.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export audiences and record whether exported views reflect live state or snapshot state.</w:t>
            </w:r>
          </w:p>
        </w:tc>
      </w:tr>
      <w:tr>
        <w:trPr>
          <w:cantSplit/>
        </w:trPr>
        <w:tc>
          <w:tcPr>
            <w:tcW w:type="dxa" w:w="187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Ticket or queue routing</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context becomes visible to teams that only need routing metadata or operational category.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prioritization can reveal urgency, customer sensitivity, or internal escalation posture through queue position.</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routing attributes from substantive details where practical and review visibility by role.</w:t>
            </w:r>
          </w:p>
        </w:tc>
      </w:tr>
      <w:tr>
        <w:trPr>
          <w:cantSplit/>
        </w:trPr>
        <w:tc>
          <w:tcPr>
            <w:tcW w:type="dxa" w:w="187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Third-party processing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Service providers process, store, classify, or enrich information as part of workflow execution.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vendors may create derived metadata, recommended actions, or training-like artifacts depending on configuration.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processing boundaries, retention expectations, subcontractor assumptions, and output ownership.</w:t>
            </w:r>
          </w:p>
        </w:tc>
      </w:tr>
      <w:tr>
        <w:trPr>
          <w:cantSplit/>
        </w:trPr>
        <w:tc>
          <w:tcPr>
            <w:tcW w:type="dxa" w:w="187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reuse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responses, draft language, or synthesized findings are reused across customers or governance forums.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text can import assumptions from one context into another without visible lineage.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output provenance, intended audience, and whether reused language implies assurance not supported by evidence.</w:t>
            </w:r>
          </w:p>
        </w:tc>
      </w:tr>
    </w:tbl>
    <w:p>
      <w:pPr>
        <w:spacing w:before="0" w:after="20" w:lineRule="auto" w:line="252"/>
      </w:pPr>
    </w:p>
    <w:p>
      <w:pPr>
        <w:spacing w:before="160" w:after="40" w:lineRule="auto" w:line="240"/>
        <w:keepNext/>
      </w:pPr>
      <w:r>
        <w:rPr>
          <w:rFonts w:ascii="Aptos" w:hAnsi="Aptos" w:eastAsia="Aptos"/>
          <w:b/>
          <w:color w:val="17365D"/>
          <w:sz w:val="19"/>
        </w:rPr>
        <w:t>Workflow Sensitivity Distinctions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Workflow Type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Sensitive Inputs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Output Exposure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Concern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support escalation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identity, contractual context, dissatisfaction history, unresolved service condition, and proposed response options.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generated summary may disclose internal prioritization or remedial uncertainty if shared externally.</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Response drafting requires review of what operational context can be exposed, not merely whether the answer is accurate.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coordination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Dependency timing, service gaps, pricing constraints, remediation status, and internal fallback plans.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Shared workspaces can reveal negotiation posture or institutional fragility.</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access should be tied to execution need and refreshed when the vendor becomes de facto governance infrastructure.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evidence assembly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Screenshots, logs, approvals, exception notes, owner comments, and evidence sufficiency judgments.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packages may reveal control gaps or overstate completeness after AI summarization.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handling must preserve provenance and prevent transformed evidence from replacing source review.</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issue briefing</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Materiality analysis, unresolved dependencies, reputational sensitivity, and response options.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Brief summaries can convert uncertainty into apparent consensus.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Decision support requires limitation language, unresolved question visibility, and authority alignment.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analytics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Volume patterns, service timing, exception recurrence, user behavior, and process bottlenecks.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Aggregated analysis may expose sensitive trends even when individual records appear low risk.</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 thresholds and downstream recipients should be evaluated before dashboards are distributed.</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AI-assisted intake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Free-text submissions, attachments, customer narratives, classifications, and routing recommendations.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Categorization can change who sees the information and how urgency is inferred.</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 must test whether automated routing preserves confidentiality assumptions embedded in prior manual review.</w:t>
            </w:r>
          </w:p>
        </w:tc>
      </w:tr>
    </w:tbl>
    <w:p>
      <w:pPr>
        <w:spacing w:before="0" w:after="20" w:lineRule="auto" w:line="252"/>
      </w:pPr>
    </w:p>
    <w:p>
      <w:pPr>
        <w:spacing w:before="160" w:after="40" w:lineRule="auto" w:line="240"/>
        <w:keepNext/>
      </w:pPr>
      <w:r>
        <w:rPr>
          <w:rFonts w:ascii="Aptos" w:hAnsi="Aptos" w:eastAsia="Aptos"/>
          <w:b/>
          <w:color w:val="17365D"/>
          <w:sz w:val="19"/>
        </w:rPr>
        <w:t>Data Handling Governance Expectations</w:t>
      </w:r>
    </w:p>
    <w:tbl>
      <w:tblPr>
        <w:tblStyle w:val="TableGrid"/>
        <w:tblW w:type="pct" w:w="5000"/>
        <w:jc w:val="center"/>
        <w:tblLayout w:type="fixed"/>
        <w:tblLook w:firstColumn="1" w:firstRow="1" w:lastColumn="0" w:lastRow="0" w:noHBand="0" w:noVBand="1" w:val="04A0"/>
      </w:tblPr>
      <w:tblGrid>
        <w:gridCol w:w="1800"/>
        <w:gridCol w:w="3168"/>
        <w:gridCol w:w="3240"/>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Handling Activity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Expectation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Traceability Requirement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Failure Pattern</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Collection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collection to information needed for the workflow, decision, evidence requirement, or customer commitment.</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Record source system, intake channel, submitter context, and classification at capture where material.</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collect broad context because it may be useful later, creating unnecessary retained exposure.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Tie access and processing to defined operational purpose rather than general convenience.</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Retain purpose, role, workflow stage, and decision relationship for high-sensitivity use.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gathered for one process becomes available for unrelated analysis without review.</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 summaries, classifications, redactions, AI outputs, and derived fields as new artifacts requiring handling review.</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source linkage, transformation method, reviewer, and known limitations.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AI-transformed information is treated as less sensitive because the original record is not visible.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Distribution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 information according to audience need, consequence, and reliance implications.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 recipient scope, date, version, and any limitation language included.</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Forwarded summaries travel beyond original permission boundaries without owner awareness.</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Retention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information only as long as needed for operational, governance, evidence, or reconstruction purpose.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Record retention basis, system location, disposition trigger, and archival limitation where applicable.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Copied artifacts persist in shared drives after source-system controls and freshness no longer apply.</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Disclosure or representation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whether information communicates fact, interpretation, assurance, limitation, or unresolved exposure.</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Link external statements to approved evidence, audience, date, and authority.</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concise customer response inadvertently becomes a reusable governance assurance claim.</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Information Visibility and Aggregated Sensitivity</w:t>
      </w:r>
    </w:p>
    <w:p>
      <w:pPr>
        <w:spacing w:before="0" w:after="100" w:lineRule="auto" w:line="252"/>
      </w:pPr>
      <w:r>
        <w:rPr>
          <w:rFonts w:ascii="Aptos" w:hAnsi="Aptos" w:eastAsia="Aptos"/>
          <w:b w:val="0"/>
          <w:color w:val="2F3A4A"/>
          <w:sz w:val="18"/>
        </w:rPr>
        <w:t>Information visibility is not limited to access permissions. Visibility includes what a recipient can infer from status, routing, frequency, metadata, queue placement, exception recurrence, version history, delayed response, or the absence of expected information. Operationally sensitive information may expose institutional weakness even when no formal restricted field is disclosed.</w:t>
      </w:r>
    </w:p>
    <w:p>
      <w:pPr>
        <w:spacing w:before="0" w:after="160" w:lineRule="auto" w:line="252"/>
      </w:pPr>
      <w:r>
        <w:rPr>
          <w:rFonts w:ascii="Aptos" w:hAnsi="Aptos" w:eastAsia="Aptos"/>
          <w:b w:val="0"/>
          <w:color w:val="2F3A4A"/>
          <w:sz w:val="18"/>
        </w:rPr>
        <w:t>Aggregated sensitivity is a frequent governance blind spot. Individual records may appear ordinary, while combined records reveal customer concentration, unresolved remediation backlog, staffing limitations, vendor instability, control population shifts, or patterns of operational exception. AI systems increase this concern because they are designed to identify patterns, compress large context, and generate coherent narratives from fragmented inputs.</w:t>
      </w:r>
    </w:p>
    <w:p>
      <w:pPr>
        <w:spacing w:before="160" w:after="40" w:lineRule="auto" w:line="240"/>
        <w:keepNext/>
      </w:pPr>
      <w:r>
        <w:rPr>
          <w:rFonts w:ascii="Aptos" w:hAnsi="Aptos" w:eastAsia="Aptos"/>
          <w:b/>
          <w:color w:val="17365D"/>
          <w:sz w:val="19"/>
        </w:rPr>
        <w:t>Information Visibility Risks</w:t>
      </w:r>
    </w:p>
    <w:tbl>
      <w:tblPr>
        <w:tblStyle w:val="TableGrid"/>
        <w:tblW w:type="pct" w:w="5000"/>
        <w:jc w:val="center"/>
        <w:tblLayout w:type="fixed"/>
        <w:tblLook w:firstColumn="1" w:firstRow="1" w:lastColumn="0" w:lastRow="0" w:noHBand="0" w:noVBand="1" w:val="04A0"/>
      </w:tblPr>
      <w:tblGrid>
        <w:gridCol w:w="1944"/>
        <w:gridCol w:w="2952"/>
        <w:gridCol w:w="3096"/>
        <w:gridCol w:w="3096"/>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Visibility Surface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Information Revealed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Consequence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Response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Shared queues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Work volume, priority, customer sensitivity, unresolved status, and team capacity.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Unauthorized observers infer service weakness or material customer impact.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queue visibility by operational role and separate priority metadata from sensitive context.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Meeting materials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Issue history, decision options, unresolved dependencies, and internal disagreement.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Materials are forwarded to participants who need awareness but not underlying sensitive detail.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audience-specific briefing versions and retain source evidence separately from executive narrative.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summaries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Condensed facts, inferred causes, recommended action, and implied confidence.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appears more certain than the evidence and travels without caveats.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references, uncertainty retention, and reviewer approval for high-reliance use.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Exported reports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Snapshot status, population count, exceptions, late items, or control gaps.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treat exported data as live state or complete population coverage.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 snapshot basis, extract time, source population, and exclusions.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Collaboration tools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Chat context, attachments, decisions, informal approvals, and operational workarounds.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material becomes searchable outside the governed workflow.</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channel sensitivity, retention expectations, and escalation when issue scope changes.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Metadata and routing signals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Author, reviewer, timestamp, escalation path, file name, queue placement, and revision pattern.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Indirect disclosure reveals urgency, executive involvement, or investigation posture.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 metadata exposure as part of handling design for restricted and governance-sensitive workflows.</w:t>
            </w:r>
          </w:p>
        </w:tc>
      </w:tr>
    </w:tbl>
    <w:p>
      <w:pPr>
        <w:spacing w:before="0" w:after="20" w:lineRule="auto" w:line="252"/>
      </w:pPr>
    </w:p>
    <w:p>
      <w:pPr>
        <w:spacing w:before="160" w:after="40" w:lineRule="auto" w:line="240"/>
        <w:keepNext/>
      </w:pPr>
      <w:r>
        <w:rPr>
          <w:rFonts w:ascii="Aptos" w:hAnsi="Aptos" w:eastAsia="Aptos"/>
          <w:b/>
          <w:color w:val="17365D"/>
          <w:sz w:val="19"/>
        </w:rPr>
        <w:t>Exposure Amplification Patterns</w:t>
      </w:r>
    </w:p>
    <w:tbl>
      <w:tblPr>
        <w:tblStyle w:val="TableGrid"/>
        <w:tblW w:type="pct" w:w="5000"/>
        <w:jc w:val="center"/>
        <w:tblLayout w:type="fixed"/>
        <w:tblLook w:firstColumn="1" w:firstRow="1" w:lastColumn="0" w:lastRow="0" w:noHBand="0" w:noVBand="1" w:val="04A0"/>
      </w:tblPr>
      <w:tblGrid>
        <w:gridCol w:w="1944"/>
        <w:gridCol w:w="3168"/>
        <w:gridCol w:w="3024"/>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Amplification Pattern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Asymmetry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Intervention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monthly operations packet combines queue delays, exception counts, customer segments, and staffing notes.</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No single element appears restricted, but the combined packet reveals institutional capacity constraints.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dashboards and packets by inference risk, not only by field-level classification.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Compression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AI system turns several evidence artifacts into a short executive paragraph.</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Uncertainty, exclusions, and unresolved ownership can disappear while confidence increases.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limitation preservation when generated summaries support decisions.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Propagation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draft response created for one customer becomes a template for similar inquiries.</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Context-specific assurance language becomes broader than the original evidence basis.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template reuse through evidence-linked approval and scope notes.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 transfer</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internal troubleshooting narrative is pasted into a vendor ticket for speed.</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assumptions, fallback plans, or customer sensitivity move outside the original governance boundary.</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operational instructions from institutional context before vendor submission.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Retained convenience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Screenshots and exports are saved in shared folders after the source system remains controlled.</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copied version outlives source permissions, freshness, and deletion practices.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Register sensitive extracts and define disposition triggers for copied evidence.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Inferred priority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prioritization places certain customer cases at the top of a queue visible to multiple teams.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Priority order exposes materiality, reputational concern, or contractual sensitivity.</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visibility of ranking logic and route high-sensitivity cases through controlled views.</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AI Systems and Information Exposure Amplification</w:t>
      </w:r>
    </w:p>
    <w:p>
      <w:pPr>
        <w:spacing w:before="0" w:after="100" w:lineRule="auto" w:line="252"/>
      </w:pPr>
      <w:r>
        <w:rPr>
          <w:rFonts w:ascii="Aptos" w:hAnsi="Aptos" w:eastAsia="Aptos"/>
          <w:b w:val="0"/>
          <w:color w:val="2F3A4A"/>
          <w:sz w:val="18"/>
        </w:rPr>
        <w:t>AI systems can alter exposure scale and visibility because they interact with information through transformation, not simple storage. Summarization, classification, extraction, recommendation, routing, and generation can each produce new artifacts that carry sensitivity from source material while appearing operationally convenient or lower risk.</w:t>
      </w:r>
    </w:p>
    <w:p>
      <w:pPr>
        <w:spacing w:before="0" w:after="100" w:lineRule="auto" w:line="252"/>
      </w:pPr>
      <w:r>
        <w:rPr>
          <w:rFonts w:ascii="Aptos" w:hAnsi="Aptos" w:eastAsia="Aptos"/>
          <w:b w:val="0"/>
          <w:color w:val="2F3A4A"/>
          <w:sz w:val="18"/>
        </w:rPr>
        <w:t>The most material AI exposure often occurs at the boundary between useful workflow assistance and unexamined propagation. A user may ask an AI system to summarize customer complaints, classify exception tickets, draft an executive update, compare vendor performance, or prepare a response narrative. Each action can consolidate sensitive facts, remove caveats, create inferred conclusions, or move information into systems and audiences that were not part of the original governance design.</w:t>
      </w:r>
    </w:p>
    <w:p>
      <w:pPr>
        <w:spacing w:before="0" w:after="100" w:lineRule="auto" w:line="252"/>
      </w:pPr>
      <w:r>
        <w:rPr>
          <w:rFonts w:ascii="Aptos" w:hAnsi="Aptos" w:eastAsia="Aptos"/>
          <w:b w:val="0"/>
          <w:color w:val="2F3A4A"/>
          <w:sz w:val="18"/>
        </w:rPr>
        <w:t>Generated outputs require governance review because they may expose sensitive operational context even when they do not reproduce source information verbatim. An output can reveal that an institution is experiencing backlog pressure, that a control is under remediation, that a customer issue has executive attention, or that a vendor dependency is unresolved. The generated language may be fluent, but fluency does not establish confidentiality suitability.</w:t>
      </w:r>
    </w:p>
    <w:p>
      <w:pPr>
        <w:spacing w:before="0" w:after="160" w:lineRule="auto" w:line="252"/>
      </w:pPr>
      <w:r>
        <w:rPr>
          <w:rFonts w:ascii="Aptos" w:hAnsi="Aptos" w:eastAsia="Aptos"/>
          <w:b w:val="0"/>
          <w:color w:val="2F3A4A"/>
          <w:sz w:val="18"/>
        </w:rPr>
        <w:t>Third-party AI systems create additional governance concerns because data handling, retention, subcontracting, model improvement, logging, administrative access, output ownership, and configuration assumptions may differ from internal expectations. Operational convenience can outpace handling discipline when teams adopt AI-enabled features inside existing platforms without reassessing the sensitivity of the workflows those features now influence.</w:t>
      </w:r>
    </w:p>
    <w:p>
      <w:pPr>
        <w:spacing w:before="160" w:after="40" w:lineRule="auto" w:line="240"/>
        <w:keepNext/>
      </w:pPr>
      <w:r>
        <w:rPr>
          <w:rFonts w:ascii="Aptos" w:hAnsi="Aptos" w:eastAsia="Aptos"/>
          <w:b/>
          <w:color w:val="17365D"/>
          <w:sz w:val="19"/>
        </w:rPr>
        <w:t>AI-Associated Confidentiality Risks</w:t>
      </w:r>
    </w:p>
    <w:tbl>
      <w:tblPr>
        <w:tblStyle w:val="TableGrid"/>
        <w:tblW w:type="pct" w:w="5000"/>
        <w:jc w:val="center"/>
        <w:tblLayout w:type="fixed"/>
        <w:tblLook w:firstColumn="1" w:firstRow="1" w:lastColumn="0" w:lastRow="0" w:noHBand="0" w:noVBand="1" w:val="04A0"/>
      </w:tblPr>
      <w:tblGrid>
        <w:gridCol w:w="2088"/>
        <w:gridCol w:w="3024"/>
        <w:gridCol w:w="3096"/>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AI Interaction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Mechanism</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Risk</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Handling Expectation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Prompting with sensitive context</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prompt combines facts, assumptions, names, unresolved issues, or internal rationale to obtain better output.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material enters a processing path that may not match the source system's handling expectations.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sensitive prompts to approved systems and preserve prompt/output review where reliance is material.</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Automated summarization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 evidence is compressed into a narrative that may omit exclusions, uncertainty, or minority facts.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Decision makers rely on a coherent summary without understanding evidentiary limits.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traceability, reviewer accountability, and limitation retention.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and routing</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categorizes requests, assigns priority, recommends owner, or directs workflow queue placement.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Confidentiality assumptions change because more teams may see classified or prioritized items.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Test routing visibility and exception paths before treating classification as operationally routine.</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response drafting</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creates customer, vendor, executive, or public-facing language from internal information.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 language may reveal more operational detail or confidence than approved evidence supports.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generated language for audience, assurance level, source basis, and implied commitment.</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Recommendation systems</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proposes actions, escalation priority, remediation options, or next steps.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may adopt recommendations without documenting authority, rationale, or exposure acceptance.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operational recommendation from accountable decision and retain decision basis.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Embedded AI features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tools are added to existing platforms for search, recap, analytics, or drafting.</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may not recognize that the handling model changed because the workflow interface stayed familiar.</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Reassess workflows when AI features are enabled, upgraded, or expanded to new populations.</w:t>
            </w:r>
          </w:p>
        </w:tc>
      </w:tr>
    </w:tbl>
    <w:p>
      <w:pPr>
        <w:spacing w:before="0" w:after="20" w:lineRule="auto" w:line="252"/>
      </w:pPr>
    </w:p>
    <w:p>
      <w:pPr>
        <w:spacing w:before="160" w:after="40" w:lineRule="auto" w:line="240"/>
        <w:keepNext/>
      </w:pPr>
      <w:r>
        <w:rPr>
          <w:rFonts w:ascii="Aptos" w:hAnsi="Aptos" w:eastAsia="Aptos"/>
          <w:b/>
          <w:color w:val="17365D"/>
          <w:sz w:val="19"/>
        </w:rPr>
        <w:t>AI-Assisted Processing Concerns</w:t>
      </w:r>
    </w:p>
    <w:tbl>
      <w:tblPr>
        <w:tblStyle w:val="TableGrid"/>
        <w:tblW w:type="pct" w:w="5000"/>
        <w:jc w:val="center"/>
        <w:tblLayout w:type="fixed"/>
        <w:tblLook w:firstColumn="1" w:firstRow="1" w:lastColumn="0" w:lastRow="0" w:noHBand="0" w:noVBand="1" w:val="04A0"/>
      </w:tblPr>
      <w:tblGrid>
        <w:gridCol w:w="1800"/>
        <w:gridCol w:w="3024"/>
        <w:gridCol w:w="3240"/>
        <w:gridCol w:w="3024"/>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Processing Type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Benefit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Sensitivity Shift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Review Requirement</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Summarization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large records into digestible issue statements, leadership updates, or customer-ready drafts.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Condensed language can transform disputed, incomplete, or contextual facts into apparent settled position.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source coverage, caveats, omitted conditions, and audience suitability.</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Extraction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Identifies dates, names, obligations, costs, exceptions, or action items from documents or tickets.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Extracted fields may circulate without the contextual safeguards present in source material.</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extracted fields before workflow routing, reporting, or external response use.</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Assigns category, sensitivity, urgency, or owner to incoming materials.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can change access, priority, retention, and handling without human recognition.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Monitor false categories, edge cases, and downstream exposure caused by automated placement.</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Drafts narratives, response language, issue summaries, decision options, or remediation descriptions.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outputs may blend fact, inference, assumption, and institutional posture.</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accountable review before reliance, disclosure, or evidence substitution.</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Recommendation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Suggests next action, escalation, reviewer, remediation path, or customer response strategy.</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Recommendation anchoring can influence decision outcomes before authority review.</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Document whether the final decision accepted, modified, or rejected the recommendation.</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Synthesis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Combines multiple sources into patterns, trends, executive narratives, or risk descriptions.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Aggregate analysis may expose sensitive operational conditions that individual inputs did not reveal.</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Evaluate inference risk, population coverage, and audience limitation before distribution.</w:t>
            </w:r>
          </w:p>
        </w:tc>
      </w:tr>
    </w:tbl>
    <w:p>
      <w:pPr>
        <w:spacing w:before="0" w:after="20" w:lineRule="auto" w:line="252"/>
      </w:pPr>
    </w:p>
    <w:p>
      <w:pPr>
        <w:spacing w:before="160" w:after="40" w:lineRule="auto" w:line="240"/>
        <w:keepNext/>
      </w:pPr>
      <w:r>
        <w:rPr>
          <w:rFonts w:ascii="Aptos" w:hAnsi="Aptos" w:eastAsia="Aptos"/>
          <w:b/>
          <w:color w:val="17365D"/>
          <w:sz w:val="19"/>
        </w:rPr>
        <w:t>Human-Generated, AI-Processed, and AI-Generated Information Distinctions</w:t>
      </w:r>
    </w:p>
    <w:tbl>
      <w:tblPr>
        <w:tblStyle w:val="TableGrid"/>
        <w:tblW w:type="pct" w:w="5000"/>
        <w:jc w:val="center"/>
        <w:tblLayout w:type="fixed"/>
        <w:tblLook w:firstColumn="1" w:firstRow="1" w:lastColumn="0" w:lastRow="0" w:noHBand="0" w:noVBand="1" w:val="04A0"/>
      </w:tblPr>
      <w:tblGrid>
        <w:gridCol w:w="2088"/>
        <w:gridCol w:w="3168"/>
        <w:gridCol w:w="3240"/>
        <w:gridCol w:w="259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Information Form</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Source of Meaning</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Primary Governance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Evidence Treatment</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Human-generated record</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Created by a person inside an operational workflow or governance process.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May include informal assumptions, incomplete context, or unapproved sensitivity labels.</w:t>
            </w:r>
          </w:p>
        </w:tc>
        <w:tc>
          <w:tcPr>
            <w:tcW w:type="dxa" w:w="259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author, date, workflow context, and source system where material.</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AI-processed information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Original information is classified, summarized, extracted, translated, redacted, or reorganized by an AI-assisted function.</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may change exposure, confidence, or audience without changing source facts.</w:t>
            </w:r>
          </w:p>
        </w:tc>
        <w:tc>
          <w:tcPr>
            <w:tcW w:type="dxa" w:w="259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 the transformed artifact as separate evidence with method and reviewer traceability.</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narrative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is composed by an AI system using prompts, retrieved context, or modeled patterns.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Narrative may appear authoritative while blending fact, inference, and assumption.</w:t>
            </w:r>
          </w:p>
        </w:tc>
        <w:tc>
          <w:tcPr>
            <w:tcW w:type="dxa" w:w="259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human accountability and source validation before use in decisions or representations.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telemetry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System-generated data reflects status, usage, timing, routing, or workflow events.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Telemetry can reveal behavior patterns, capacity constraints, or priority handling.</w:t>
            </w:r>
          </w:p>
        </w:tc>
        <w:tc>
          <w:tcPr>
            <w:tcW w:type="dxa" w:w="259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aggregation, dashboard exposure, export practices, and retention basis.</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 assertion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Statement claims a control, process, posture, status, limitation, or assurance condition.</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Assertion may become externally relied upon even if based on narrow evidence.</w:t>
            </w:r>
          </w:p>
        </w:tc>
        <w:tc>
          <w:tcPr>
            <w:tcW w:type="dxa" w:w="259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Link assertion to approved evidence, scope, authority, and freshness review.</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Third-Party Processing and Exposure Inheritance</w:t>
      </w:r>
    </w:p>
    <w:p>
      <w:pPr>
        <w:spacing w:before="0" w:after="100" w:lineRule="auto" w:line="252"/>
      </w:pPr>
      <w:r>
        <w:rPr>
          <w:rFonts w:ascii="Aptos" w:hAnsi="Aptos" w:eastAsia="Aptos"/>
          <w:b w:val="0"/>
          <w:color w:val="2F3A4A"/>
          <w:sz w:val="18"/>
        </w:rPr>
        <w:t>Third-party processing creates exposure inheritance because institutional information may acquire the handling characteristics of the systems, service providers, subcontractors, administrative roles, logging models, and support channels through which it moves. The organization remains accountable for understanding whether the operational workflow depends on assumptions that are not visible in the primary application interface.</w:t>
      </w:r>
    </w:p>
    <w:p>
      <w:pPr>
        <w:spacing w:before="0" w:after="160" w:lineRule="auto" w:line="252"/>
      </w:pPr>
      <w:r>
        <w:rPr>
          <w:rFonts w:ascii="Aptos" w:hAnsi="Aptos" w:eastAsia="Aptos"/>
          <w:b w:val="0"/>
          <w:color w:val="2F3A4A"/>
          <w:sz w:val="18"/>
        </w:rPr>
        <w:t>Exposure inheritance is especially significant when third-party services introduce AI-assisted processing into existing workflows. A vendor platform may add automated summaries, smart routing, generated responses, searchable transcripts, analytics enrichment, or recommendation features. The operational function may perceive the change as a product enhancement, while the governance model must treat it as a change in processing, visibility, derived information, and reliance.</w:t>
      </w:r>
    </w:p>
    <w:p>
      <w:pPr>
        <w:spacing w:before="160" w:after="40" w:lineRule="auto" w:line="240"/>
        <w:keepNext/>
      </w:pPr>
      <w:r>
        <w:rPr>
          <w:rFonts w:ascii="Aptos" w:hAnsi="Aptos" w:eastAsia="Aptos"/>
          <w:b/>
          <w:color w:val="17365D"/>
          <w:sz w:val="19"/>
        </w:rPr>
        <w:t>Third-Party Exposure Models</w:t>
      </w:r>
    </w:p>
    <w:tbl>
      <w:tblPr>
        <w:tblStyle w:val="TableGrid"/>
        <w:tblW w:type="pct" w:w="5000"/>
        <w:jc w:val="center"/>
        <w:tblLayout w:type="fixed"/>
        <w:tblLook w:firstColumn="1" w:firstRow="1" w:lastColumn="0" w:lastRow="0" w:noHBand="0" w:noVBand="1" w:val="04A0"/>
      </w:tblPr>
      <w:tblGrid>
        <w:gridCol w:w="1944"/>
        <w:gridCol w:w="3240"/>
        <w:gridCol w:w="3096"/>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Model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Condition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Propagation Risk</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Assurance Need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Hosted workflow platform</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records are processed in a vendor-controlled environment used by internal teams.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content may be visible through vendor support, integrations, logs, exports, or embedded AI tools.</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access model, retention settings, AI feature scope, and change notification expectations.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review workspace</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Documents, evidence, or issue packets are shared with advisors, auditors, partners, or customers.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may download, forward, summarize, or reuse materials beyond the original review purpose.</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audience, version, permitted use, expiration, and whether materials are snapshot or live state.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vendor service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uses AI to classify, draft, route, analyze, or recommend within the service workflow.</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metadata or generated artifacts may persist separately from source records.</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configuration, retention, output ownership, model-improvement assumptions, and subcontractor exposure.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Integration chain</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Data moves through connectors, middleware, ticketing systems, analytics tools, or notification channels.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Sensitivity classification may be lost as data is normalized, copied, or reformatted.</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flow, fields, recipients, logs, and whether transformations preserve classification.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Managed operational support</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Provider personnel act within operational workflows, support queues, or remediation processes.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Institutional context may be learned through repeated support interactions rather than formal disclosure.</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support permissions, issue narratives, escalation handling, and continuity when personnel change.</w:t>
            </w:r>
          </w:p>
        </w:tc>
      </w:tr>
    </w:tbl>
    <w:p>
      <w:pPr>
        <w:spacing w:before="0" w:after="20" w:lineRule="auto" w:line="252"/>
      </w:pPr>
    </w:p>
    <w:p>
      <w:pPr>
        <w:spacing w:before="160" w:after="40" w:lineRule="auto" w:line="240"/>
        <w:keepNext/>
      </w:pPr>
      <w:r>
        <w:rPr>
          <w:rFonts w:ascii="Aptos" w:hAnsi="Aptos" w:eastAsia="Aptos"/>
          <w:b/>
          <w:color w:val="17365D"/>
          <w:sz w:val="19"/>
        </w:rPr>
        <w:t>Governance Sensitivity Scaling Triggers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Scaling Trigger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Why Sensitivity Changes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Adjustment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expansion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moves from task performers to leaders, vendors, customers, investors, or public channels.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Reassess context, limitation language, and authority before redistribution.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support summary becomes an executive briefing and later a customer response basis.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Multiple low-risk elements reveal operational posture, exception trend, capacity pressure, or customer concentration.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combined outputs for inference risk and reliance implications.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Monthly metrics expose backlog concentration in a sensitive customer segment.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or system logic changes routing, prioritization, drafting, or classification without visible process redesign.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automation impact on confidentiality assumptions and access paths.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intake moves restricted complaints into a broader queue based on category confidence.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dependency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vendor, platform, advisor, or partner becomes part of the handling chain.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processing, retention, support access, and onward-transfer conditions.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packets are uploaded to a review portal that provides AI document summaries.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Decision reliance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becomes part of approval, remediation, acceptance of exposure, or assurance statement.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source basis, decision owner, limitation, and review date.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generated issue summary supports a decision to defer remediation.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Time sensitivity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is safe after resolution but sensitive during negotiation, investigation, outage, incident, or executive review.</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temporal handling and refresh classification after status change.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draft corrective action plan is restricted until customer notification is complete.</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Operational Handling Expectations for Sensitive Workflows</w:t>
      </w:r>
    </w:p>
    <w:p>
      <w:pPr>
        <w:spacing w:before="0" w:after="100" w:lineRule="auto" w:line="252"/>
      </w:pPr>
      <w:r>
        <w:rPr>
          <w:rFonts w:ascii="Aptos" w:hAnsi="Aptos" w:eastAsia="Aptos"/>
          <w:b w:val="0"/>
          <w:color w:val="2F3A4A"/>
          <w:sz w:val="18"/>
        </w:rPr>
        <w:t>Sensitive workflow governance requires a practical operating discipline: know what information enters the workflow, how sensitivity changes through context and aggregation, which systems process or transform it, who can see it, what outputs are retained, and when escalation is required because exposure exceeds routine handling authority. The framework does not require every workflow to operate at the highest restriction level. It requires proportional handling tied to consequence, reliance, and operational reality.</w:t>
      </w:r>
    </w:p>
    <w:p>
      <w:pPr>
        <w:spacing w:before="0" w:after="160" w:lineRule="auto" w:line="252"/>
      </w:pPr>
      <w:r>
        <w:rPr>
          <w:rFonts w:ascii="Aptos" w:hAnsi="Aptos" w:eastAsia="Aptos"/>
          <w:b w:val="0"/>
          <w:color w:val="2F3A4A"/>
          <w:sz w:val="18"/>
        </w:rPr>
        <w:t>Operational teams may correctly execute tasks while still creating governance exposure if they copy sensitive artifacts into unmanaged repositories, summarize unresolved issues without limitations, rely on AI-generated language without review, or allow informal access to persist after the workflow objective has changed. Handling discipline must therefore be embedded into workflow design rather than applied only after a breach, complaint, audit request, or customer escalation.</w:t>
      </w:r>
    </w:p>
    <w:p>
      <w:r>
        <w:br w:type="page"/>
      </w:r>
    </w:p>
    <w:p>
      <w:pPr>
        <w:spacing w:before="160" w:after="40" w:lineRule="auto" w:line="240"/>
        <w:keepNext/>
      </w:pPr>
      <w:r>
        <w:rPr>
          <w:rFonts w:ascii="Aptos" w:hAnsi="Aptos" w:eastAsia="Aptos"/>
          <w:b/>
          <w:color w:val="17365D"/>
          <w:sz w:val="19"/>
        </w:rPr>
        <w:t>Sensitive Workflow Categories</w:t>
      </w:r>
    </w:p>
    <w:tbl>
      <w:tblPr>
        <w:tblStyle w:val="TableGrid"/>
        <w:tblW w:type="pct" w:w="5000"/>
        <w:jc w:val="center"/>
        <w:tblLayout w:type="fixed"/>
        <w:tblLook w:firstColumn="1" w:firstRow="1" w:lastColumn="0" w:lastRow="0" w:noHBand="0" w:noVBand="1" w:val="04A0"/>
      </w:tblPr>
      <w:tblGrid>
        <w:gridCol w:w="2088"/>
        <w:gridCol w:w="3024"/>
        <w:gridCol w:w="3168"/>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Workflow Category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Indicator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Handling Expectation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Escalation Point</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Customer-impact workflow</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affects customer obligations, service expectations, issue resolution, or relationship confidence.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operational context in drafts, control response language, and preserve source basis.</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response language implies assurance, remediation commitment, or unresolved exposure acceptance.</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 evidence workflow</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Artifacts support control operation, verification, assurance, or decision reconstruction.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 provenance, population coverage, reviewer identity, and transformation history.</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evidence is stale, incomplete, AI-transformed, or detached from source systems.</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Vendor-dependent workflow</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Execution relies on provider systems, personnel, subcontractors, or AI-enabled vendor features.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processing boundaries, access rights, retained outputs, and dependency ownership.</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vendor tooling changes exposure, retention, or output generation.</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decision workflow</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informs funding, remediation, exposure acceptance, public posture, or strategic response.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limitation language, unresolved options, and accountable authority.</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urgency narrows options before evidence or authority review.</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Incident or exception workflow</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Issue status, cause, scope, or remediation remains uncertain or evolving.</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narrow access, documented assumptions, and update controls as facts change.</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recurring exceptions normalize or external reliance develops.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AI-assisted intake workflow</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systems classify, prioritize, summarize, or route submitted information.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sensitivity routing, false classifications, output review, and population drift.</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automation changes who sees sensitive content or how urgency is inferred.</w:t>
            </w:r>
          </w:p>
        </w:tc>
      </w:tr>
    </w:tbl>
    <w:p>
      <w:pPr>
        <w:spacing w:before="0" w:after="20" w:lineRule="auto" w:line="252"/>
      </w:pPr>
    </w:p>
    <w:p>
      <w:pPr>
        <w:spacing w:before="160" w:after="40" w:lineRule="auto" w:line="240"/>
        <w:keepNext/>
      </w:pPr>
      <w:r>
        <w:rPr>
          <w:rFonts w:ascii="Aptos" w:hAnsi="Aptos" w:eastAsia="Aptos"/>
          <w:b/>
          <w:color w:val="17365D"/>
          <w:sz w:val="19"/>
        </w:rPr>
        <w:t>Operational Handling Expectations</w:t>
      </w:r>
    </w:p>
    <w:tbl>
      <w:tblPr>
        <w:tblStyle w:val="TableGrid"/>
        <w:tblW w:type="pct" w:w="5000"/>
        <w:jc w:val="center"/>
        <w:tblLayout w:type="fixed"/>
        <w:tblLook w:firstColumn="1" w:firstRow="1" w:lastColumn="0" w:lastRow="0" w:noHBand="0" w:noVBand="1" w:val="04A0"/>
      </w:tblPr>
      <w:tblGrid>
        <w:gridCol w:w="1944"/>
        <w:gridCol w:w="3168"/>
        <w:gridCol w:w="2952"/>
        <w:gridCol w:w="3024"/>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Expectation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Evidence of Operation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Weakness Pattern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Contextual classification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 sensitivity based on workflow context, aggregation, audience, and consequence.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record, owner note, handling label, or workflow rule.</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rely on source-system labels that do not reflect downstream use.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limitation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visibility to roles with task, decision, review, or oversight need.</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Access group, distribution record, meeting attendee scope, or shared workspace permission.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copied distribution becomes a substitute for accountable routing.</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accountability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summaries, generated outputs, extracted fields, and derived analytics as governed artifacts.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Reviewer approval, source linkage, limitation note, and output version.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outputs are treated as neutral drafts and reused without provenance.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Third-party boundary control</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whether vendors or platforms process, retain, access, summarize, or enrich sensitive information.</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processing map, configuration record, or exposure review.</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features are enabled inside vendor tools without workflow reassessment.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Retention discipline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Retain sensitive artifacts only for defined operational, evidence, continuity, or reconstruction purposes.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Retention rule, disposition log, archive basis, and source-system location.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Convenience copies persist in folders, chats, and exports after workflow closure.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Escalation readiness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Route exposure concerns when handling assumptions, audience, reliance, or processing conditions change.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Escalation note, decision owner, remediation action, or accepted limitation.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teams contain exposure informally until external reliance appears.</w:t>
            </w:r>
          </w:p>
        </w:tc>
      </w:tr>
    </w:tbl>
    <w:p>
      <w:pPr>
        <w:spacing w:before="0" w:after="20" w:lineRule="auto" w:line="252"/>
      </w:pPr>
    </w:p>
    <w:p>
      <w:pPr>
        <w:spacing w:before="160" w:after="40" w:lineRule="auto" w:line="240"/>
        <w:keepNext/>
      </w:pPr>
      <w:r>
        <w:rPr>
          <w:rFonts w:ascii="Aptos" w:hAnsi="Aptos" w:eastAsia="Aptos"/>
          <w:b/>
          <w:color w:val="17365D"/>
          <w:sz w:val="19"/>
        </w:rPr>
        <w:t>Exposure Containment Concepts</w:t>
      </w:r>
    </w:p>
    <w:tbl>
      <w:tblPr>
        <w:tblStyle w:val="TableGrid"/>
        <w:tblW w:type="pct" w:w="5000"/>
        <w:jc w:val="center"/>
        <w:tblLayout w:type="fixed"/>
        <w:tblLook w:firstColumn="1" w:firstRow="1" w:lastColumn="0" w:lastRow="0" w:noHBand="0" w:noVBand="1" w:val="04A0"/>
      </w:tblPr>
      <w:tblGrid>
        <w:gridCol w:w="2088"/>
        <w:gridCol w:w="3024"/>
        <w:gridCol w:w="3096"/>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Concept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Purpose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Use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Failure</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Minimum necessary context</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exposure by separating task execution facts from broader institutional context.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 vendors or AI tools only the details needed to perform the current activity.</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paste complete histories because selective preparation takes longer.</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Source-linked summary</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compressed information connected to underlying evidence and limitation.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Attach source identifiers, date, coverage, exclusions, and reviewer notes to summaries.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summary becomes the record while source uncertainty disappears.</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Role-scoped visibility</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Aligns access with task, review, decision, or oversight need.</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separate views for routing, execution, executive review, and evidence validation.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 participants see all details because the shared workspace is convenient.</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review</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Treats AI outputs and derived data as artifacts with new exposure characteristics.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generated drafts, classifications, analytics, and recommendations before reliance.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content is copied into customer or executive materials without source validation.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Snapshot labeling</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exported evidence from being interpreted as live or complete state.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Mark extract date, source population, exclusions, and refresh requirement.</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Old dashboard exports circulate after operating populations changed.</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Disposition trigger</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retained convenience copies from becoming unmanaged evidence repositories.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closure, supersession, retention, or deletion conditions for extracted sensitive material.</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retain local copies because retrieval from controlled systems is inconvenient.</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Sensitive Information and Operational Exposure Operating Standard</w:t>
      </w:r>
    </w:p>
    <w:p>
      <w:pPr>
        <w:spacing w:before="0" w:after="100" w:lineRule="auto" w:line="252"/>
      </w:pPr>
      <w:r>
        <w:rPr>
          <w:rFonts w:ascii="Aptos" w:hAnsi="Aptos" w:eastAsia="Aptos"/>
          <w:b w:val="0"/>
          <w:color w:val="2F3A4A"/>
          <w:sz w:val="18"/>
        </w:rPr>
        <w:t>Sensitive information governance under this framework shall be operated as an exposure-aware discipline tied to workflow context, institutional consequence, evidence use, audience, transformation, third-party processing, and operational reliance. Information shall not be treated as low sensitivity solely because it lacks a formal restricted label or because it appears routine inside the originating workflow.</w:t>
      </w:r>
    </w:p>
    <w:p>
      <w:pPr>
        <w:spacing w:before="0" w:after="100" w:lineRule="auto" w:line="252"/>
      </w:pPr>
      <w:r>
        <w:rPr>
          <w:rFonts w:ascii="Aptos" w:hAnsi="Aptos" w:eastAsia="Aptos"/>
          <w:b w:val="0"/>
          <w:color w:val="2F3A4A"/>
          <w:sz w:val="18"/>
        </w:rPr>
        <w:t>Organizations implementing this framework shall classify sensitive workflows by operational exposure, not only by data field. Public, internal, sensitive, restricted, regulated, AI-processed, AI-generated, and governance-sensitive information shall be distinguished by how the information is used, transformed, aggregated, retained, represented, and relied upon. Classification shall be recalibrated when workflow context, audience, external reliance, AI involvement, vendor processing, or aggregation changes the exposure profile.</w:t>
      </w:r>
    </w:p>
    <w:p>
      <w:pPr>
        <w:spacing w:before="0" w:after="100" w:lineRule="auto" w:line="252"/>
      </w:pPr>
      <w:r>
        <w:rPr>
          <w:rFonts w:ascii="Aptos" w:hAnsi="Aptos" w:eastAsia="Aptos"/>
          <w:b w:val="0"/>
          <w:color w:val="2F3A4A"/>
          <w:sz w:val="18"/>
        </w:rPr>
        <w:t>AI-assisted systems shall be governed as exposure amplifiers when they summarize, classify, extract, route, prioritize, recommend, synthesize, or generate operational artifacts. Prompts, outputs, summaries, classifications, recommendations, and generated narratives shall be reviewed according to the sensitivity of the workflow they support and the reliance they may create. AI fluency, convenience, or embedded platform availability shall not substitute for accountable handling review.</w:t>
      </w:r>
    </w:p>
    <w:p>
      <w:pPr>
        <w:spacing w:before="0" w:after="100" w:lineRule="auto" w:line="252"/>
      </w:pPr>
      <w:r>
        <w:rPr>
          <w:rFonts w:ascii="Aptos" w:hAnsi="Aptos" w:eastAsia="Aptos"/>
          <w:b w:val="0"/>
          <w:color w:val="2F3A4A"/>
          <w:sz w:val="18"/>
        </w:rPr>
        <w:t>Third-party processing shall be evaluated for visibility, retention, access, transformation, support, onward-transfer, derived metadata, and AI-enabled functionality. Where sensitive information is processed outside the original institutional boundary, governance records shall preserve the handling expectation, processing boundary, owner, review basis, and escalation condition.</w:t>
      </w:r>
    </w:p>
    <w:p>
      <w:pPr>
        <w:spacing w:before="0" w:after="100" w:lineRule="auto" w:line="252"/>
      </w:pPr>
      <w:r>
        <w:rPr>
          <w:rFonts w:ascii="Aptos" w:hAnsi="Aptos" w:eastAsia="Aptos"/>
          <w:b w:val="0"/>
          <w:color w:val="2F3A4A"/>
          <w:sz w:val="18"/>
        </w:rPr>
        <w:t>Operational exposure shall be escalated when information movement, summarization, aggregation, external distribution, AI processing, evidence use, executive reliance, customer reliance, or third-party handling exceeds the authority of the workflow owner. The operating standard for this section is sustained alignment between information sensitivity, workflow reality, accountable handling, evidence traceability, bounded visibility, and institutional trust.</w:t>
      </w:r>
    </w:p>
    <w:sectPr w:rsidR="00FC693F" w:rsidRPr="0006063C" w:rsidSect="00034616">
      <w:footerReference w:type="default" r:id="rId9"/>
      <w:pgSz w:w="12240" w:h="15840"/>
      <w:pgMar w:top="1037" w:right="835" w:bottom="893" w:left="835"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left"/>
    </w:pPr>
    <w:r>
      <w:rPr>
        <w:rFonts w:ascii="Aptos" w:hAnsi="Aptos" w:eastAsia="Aptos"/>
        <w:b w:val="0"/>
        <w:color w:val="66758A"/>
        <w:sz w:val="14"/>
      </w:rPr>
      <w:t>Paladin Compliance Governance Binder | Section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F3A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