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Rule="auto" w:line="252"/>
      </w:pPr>
      <w:r>
        <w:rPr>
          <w:rFonts w:ascii="Aptos" w:hAnsi="Aptos" w:eastAsia="Aptos"/>
          <w:b/>
          <w:color w:val="66758A"/>
          <w:sz w:val="16"/>
        </w:rPr>
        <w:t>PALADIN COMPLIANCE</w:t>
      </w:r>
    </w:p>
    <w:tbl>
      <w:tblPr>
        <w:tblW w:type="pct" w:w="5000"/>
        <w:tblLook w:firstColumn="1" w:firstRow="1" w:lastColumn="0" w:lastRow="0" w:noHBand="0" w:noVBand="1" w:val="04A0"/>
      </w:tblPr>
      <w:tblGrid>
        <w:gridCol w:w="10570"/>
      </w:tblGrid>
      <w:tr>
        <w:tc>
          <w:tcPr>
            <w:tcW w:type="dxa" w:w="10570"/>
            <w:shd w:fill="17365D"/>
            <w:tcBorders>
              <w:top w:val="single" w:sz="6" w:space="0" w:color="17365D"/>
              <w:left w:val="single" w:sz="6" w:space="0" w:color="17365D"/>
              <w:bottom w:val="single" w:sz="6" w:space="0" w:color="17365D"/>
              <w:right w:val="single" w:sz="6" w:space="0" w:color="17365D"/>
            </w:tcBorders>
            <w:tcMar>
              <w:top w:w="12" w:type="dxa"/>
              <w:start w:w="0" w:type="dxa"/>
              <w:bottom w:w="12" w:type="dxa"/>
              <w:end w:w="0" w:type="dxa"/>
            </w:tcMar>
          </w:tcPr>
          <w:p>
            <w:pPr>
              <w:spacing w:after="0"/>
            </w:pPr>
            <w:r/>
          </w:p>
        </w:tc>
      </w:tr>
    </w:tbl>
    <w:p>
      <w:pPr>
        <w:spacing w:before="560" w:after="60" w:lineRule="auto" w:line="252"/>
        <w:jc w:val="left"/>
      </w:pPr>
      <w:r>
        <w:rPr>
          <w:rFonts w:ascii="Aptos" w:hAnsi="Aptos" w:eastAsia="Aptos"/>
          <w:b/>
          <w:color w:val="17365D"/>
          <w:sz w:val="46"/>
        </w:rPr>
        <w:t>Controlled Governance Artifact Identity</w:t>
      </w:r>
    </w:p>
    <w:p>
      <w:pPr>
        <w:spacing w:before="0" w:after="100" w:lineRule="auto" w:line="252"/>
      </w:pPr>
      <w:r>
        <w:rPr>
          <w:rFonts w:ascii="Aptos" w:hAnsi="Aptos" w:eastAsia="Aptos"/>
          <w:b/>
          <w:color w:val="2F3A4A"/>
          <w:sz w:val="30"/>
        </w:rPr>
        <w:t>Governance Binder</w:t>
      </w:r>
    </w:p>
    <w:p>
      <w:pPr>
        <w:spacing w:before="0" w:after="480" w:lineRule="auto" w:line="252"/>
      </w:pPr>
      <w:r>
        <w:rPr>
          <w:rFonts w:ascii="Aptos" w:hAnsi="Aptos" w:eastAsia="Aptos"/>
          <w:b/>
          <w:color w:val="66758A"/>
          <w:sz w:val="18"/>
        </w:rPr>
        <w:t>Maintained Governance Framework | Operational Stewardship Reference</w:t>
      </w:r>
    </w:p>
    <w:tbl>
      <w:tblPr>
        <w:tblW w:type="pct" w:w="5000"/>
        <w:jc w:val="center"/>
        <w:tblLayout w:type="fixed"/>
        <w:tblLook w:firstColumn="1" w:firstRow="1" w:lastColumn="0" w:lastRow="0" w:noHBand="0" w:noVBand="1" w:val="04A0"/>
      </w:tblPr>
      <w:tblGrid>
        <w:gridCol w:w="6840"/>
        <w:gridCol w:w="3672"/>
      </w:tblGrid>
      <w:tr>
        <w:tc>
          <w:tcPr>
            <w:tcW w:type="dxa" w:w="5285"/>
            <w:tcBorders>
              <w:top w:val="single" w:sz="8" w:space="0" w:color="B9C4D1"/>
              <w:left w:val="single" w:sz="8" w:space="0" w:color="B9C4D1"/>
              <w:bottom w:val="single" w:sz="8" w:space="0" w:color="B9C4D1"/>
              <w:right w:val="single" w:sz="8" w:space="0" w:color="B9C4D1"/>
            </w:tcBorders>
            <w:tcMar>
              <w:top w:w="150" w:type="dxa"/>
              <w:start w:w="150" w:type="dxa"/>
              <w:bottom w:w="150" w:type="dxa"/>
              <w:end w:w="150" w:type="dxa"/>
            </w:tcMar>
            <w:vAlign w:val="top"/>
          </w:tcPr>
          <w:p/>
          <w:tbl>
            <w:tblPr>
              <w:tblW w:type="auto" w:w="0"/>
              <w:tblLayout w:type="fixed"/>
              <w:tblLook w:firstColumn="1" w:firstRow="1" w:lastColumn="0" w:lastRow="0" w:noHBand="0" w:noVBand="1" w:val="04A0"/>
            </w:tblPr>
            <w:tblGrid>
              <w:gridCol w:w="2232"/>
              <w:gridCol w:w="4248"/>
            </w:tblGrid>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Organization Name</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[Organization Name]</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Binder Title</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tcPr>
                <w:p>
                  <w:pPr>
                    <w:spacing w:before="0" w:after="0" w:lineRule="auto" w:line="240"/>
                  </w:pPr>
                  <w:r>
                    <w:rPr>
                      <w:rFonts w:ascii="Aptos" w:hAnsi="Aptos" w:eastAsia="Aptos"/>
                      <w:b w:val="0"/>
                      <w:color w:val="2F3A4A"/>
                      <w:sz w:val="16"/>
                    </w:rPr>
                    <w:t>Paladin Compliance Governance Binder</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Artifact Designation</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Controlled Governance Artifact</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Verification Status</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tcPr>
                <w:p>
                  <w:pPr>
                    <w:spacing w:before="0" w:after="0" w:lineRule="auto" w:line="240"/>
                  </w:pPr>
                  <w:r>
                    <w:rPr>
                      <w:rFonts w:ascii="Aptos" w:hAnsi="Aptos" w:eastAsia="Aptos"/>
                      <w:b w:val="0"/>
                      <w:color w:val="2F3A4A"/>
                      <w:sz w:val="16"/>
                    </w:rPr>
                    <w:t>[Verification Status]</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Effective Date</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[Effective Date]</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Revision Identifier</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tcPr>
                <w:p>
                  <w:pPr>
                    <w:spacing w:before="0" w:after="0" w:lineRule="auto" w:line="240"/>
                  </w:pPr>
                  <w:r>
                    <w:rPr>
                      <w:rFonts w:ascii="Aptos" w:hAnsi="Aptos" w:eastAsia="Aptos"/>
                      <w:b w:val="0"/>
                      <w:color w:val="2F3A4A"/>
                      <w:sz w:val="16"/>
                    </w:rPr>
                    <w:t>[Revision Identifier]</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Governance Stewardship</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[Governance Stewardship Designation]</w:t>
                  </w:r>
                </w:p>
              </w:tc>
            </w:tr>
          </w:tbl>
          <w:p/>
        </w:tc>
        <w:tc>
          <w:tcPr>
            <w:tcW w:type="dxa" w:w="5285"/>
            <w:tcBorders>
              <w:top w:val="single" w:sz="8" w:space="0" w:color="B9C4D1"/>
              <w:left w:val="single" w:sz="8" w:space="0" w:color="B9C4D1"/>
              <w:bottom w:val="single" w:sz="8" w:space="0" w:color="B9C4D1"/>
              <w:right w:val="single" w:sz="8" w:space="0" w:color="B9C4D1"/>
            </w:tcBorders>
            <w:tcMar>
              <w:top w:w="150" w:type="dxa"/>
              <w:start w:w="150" w:type="dxa"/>
              <w:bottom w:w="150" w:type="dxa"/>
              <w:end w:w="150" w:type="dxa"/>
            </w:tcMar>
            <w:vAlign w:val="top"/>
          </w:tcPr>
          <w:p>
            <w:pPr>
              <w:spacing w:before="0" w:after="100" w:lineRule="auto" w:line="240"/>
            </w:pPr>
            <w:r>
              <w:rPr>
                <w:rFonts w:ascii="Aptos" w:hAnsi="Aptos" w:eastAsia="Aptos"/>
                <w:b/>
                <w:color w:val="17365D"/>
                <w:sz w:val="19"/>
              </w:rPr>
              <w:t>QR Verification</w:t>
            </w:r>
          </w:p>
          <w:p>
            <w:pPr>
              <w:spacing w:before="0" w:after="140" w:lineRule="auto" w:line="252"/>
            </w:pPr>
            <w:r>
              <w:rPr>
                <w:rFonts w:ascii="Aptos" w:hAnsi="Aptos" w:eastAsia="Aptos"/>
                <w:b w:val="0"/>
                <w:color w:val="2F3A4A"/>
                <w:sz w:val="15"/>
              </w:rPr>
              <w:t>Placeholder area for organization-specific verification routing, controlled register lookup, or maintained governance artifact reference.</w:t>
            </w:r>
          </w:p>
          <w:tbl>
            <w:tblPr>
              <w:tblW w:type="auto" w:w="0"/>
              <w:tblLook w:firstColumn="1" w:firstRow="1" w:lastColumn="0" w:lastRow="0" w:noHBand="0" w:noVBand="1" w:val="04A0"/>
            </w:tblPr>
            <w:tblGrid>
              <w:gridCol w:w="5285"/>
            </w:tblGrid>
            <w:tr>
              <w:tc>
                <w:tcPr>
                  <w:tcW w:type="dxa" w:w="5285"/>
                  <w:shd w:fill="FFFFFF"/>
                  <w:tcBorders>
                    <w:top w:val="single" w:sz="10" w:space="0" w:color="17365D"/>
                    <w:left w:val="single" w:sz="10" w:space="0" w:color="17365D"/>
                    <w:bottom w:val="single" w:sz="10" w:space="0" w:color="17365D"/>
                    <w:right w:val="single" w:sz="10" w:space="0" w:color="17365D"/>
                  </w:tcBorders>
                  <w:tcMar>
                    <w:top w:w="780" w:type="dxa"/>
                    <w:start w:w="160" w:type="dxa"/>
                    <w:bottom w:w="780" w:type="dxa"/>
                    <w:end w:w="160" w:type="dxa"/>
                  </w:tcMar>
                </w:tcPr>
                <w:p>
                  <w:pPr>
                    <w:spacing w:before="0" w:after="0" w:lineRule="auto" w:line="240"/>
                    <w:jc w:val="center"/>
                  </w:pPr>
                  <w:r>
                    <w:rPr>
                      <w:rFonts w:ascii="Aptos" w:hAnsi="Aptos" w:eastAsia="Aptos"/>
                      <w:b/>
                      <w:color w:val="66758A"/>
                      <w:sz w:val="14"/>
                    </w:rPr>
                    <w:t>[QR Verification Placeholder]</w:t>
                  </w:r>
                </w:p>
              </w:tc>
            </w:tr>
          </w:tbl>
          <w:p/>
        </w:tc>
      </w:tr>
    </w:tbl>
    <w:tbl>
      <w:tblPr>
        <w:tblW w:type="pct" w:w="5000"/>
        <w:jc w:val="center"/>
        <w:tblLook w:firstColumn="1" w:firstRow="1" w:lastColumn="0" w:lastRow="0" w:noHBand="0" w:noVBand="1" w:val="04A0"/>
      </w:tblPr>
      <w:tblGrid>
        <w:gridCol w:w="10570"/>
      </w:tblGrid>
      <w:tr>
        <w:tc>
          <w:tcPr>
            <w:tcW w:type="dxa" w:w="10570"/>
            <w:shd w:fill="EEF3F8"/>
            <w:tcBorders>
              <w:top w:val="single" w:sz="8" w:space="0" w:color="B9C4D1"/>
              <w:left w:val="single" w:sz="8" w:space="0" w:color="B9C4D1"/>
              <w:bottom w:val="single" w:sz="8" w:space="0" w:color="B9C4D1"/>
              <w:right w:val="single" w:sz="8" w:space="0" w:color="B9C4D1"/>
            </w:tcBorders>
            <w:tcMar>
              <w:top w:w="130" w:type="dxa"/>
              <w:start w:w="170" w:type="dxa"/>
              <w:bottom w:w="130" w:type="dxa"/>
              <w:end w:w="170" w:type="dxa"/>
            </w:tcMar>
          </w:tcPr>
          <w:p>
            <w:pPr>
              <w:spacing w:before="0" w:after="0" w:lineRule="auto" w:line="259"/>
            </w:pPr>
            <w:r>
              <w:rPr>
                <w:rFonts w:ascii="Aptos" w:hAnsi="Aptos" w:eastAsia="Aptos"/>
                <w:b w:val="0"/>
                <w:color w:val="2F3A4A"/>
                <w:sz w:val="18"/>
              </w:rPr>
              <w:t>This binder is presented as a controlled governance artifact intended to support institutional stewardship, evidence-linked accountability, bounded assurance, and governance continuity. Its authority is maintained through revision discipline, operational alignment, and stewardship of the governed conditions it represents.</w:t>
            </w:r>
          </w:p>
        </w:tc>
      </w:tr>
    </w:tbl>
    <w:p>
      <w:pPr>
        <w:spacing w:after="60"/>
      </w:pPr>
    </w:p>
    <w:p>
      <w:pPr>
        <w:spacing w:before="280" w:after="120" w:lineRule="auto" w:line="252"/>
      </w:pPr>
      <w:r>
        <w:rPr>
          <w:rFonts w:ascii="Aptos" w:hAnsi="Aptos" w:eastAsia="Aptos"/>
          <w:b/>
          <w:color w:val="17365D"/>
          <w:sz w:val="17"/>
        </w:rPr>
        <w:t>Governance posture visibility must remain proportionate to evidence support, revision currency, and accountable stewardship.</w:t>
      </w:r>
    </w:p>
    <w:p>
      <w:pPr>
        <w:spacing w:before="80" w:after="0" w:lineRule="auto" w:line="240"/>
      </w:pPr>
      <w:r>
        <w:br w:type="page"/>
      </w:r>
    </w:p>
    <w:p>
      <w:pPr>
        <w:spacing w:before="0" w:after="60" w:lineRule="auto" w:line="240"/>
        <w:jc w:val="left"/>
      </w:pPr>
      <w:r>
        <w:rPr>
          <w:rFonts w:ascii="Aptos Display" w:hAnsi="Aptos Display" w:eastAsia="Aptos Display"/>
          <w:b/>
          <w:color w:val="17365D"/>
          <w:sz w:val="38"/>
        </w:rPr>
        <w:t>FM-1 Cover Page and Controlled Governance Artifact Identity</w:t>
      </w:r>
    </w:p>
    <w:p>
      <w:pPr>
        <w:spacing w:before="0" w:after="240" w:lineRule="auto" w:line="240"/>
      </w:pPr>
      <w:r>
        <w:rPr>
          <w:rFonts w:ascii="Aptos" w:hAnsi="Aptos" w:eastAsia="Aptos"/>
          <w:b/>
          <w:color w:val="66758A"/>
          <w:sz w:val="17"/>
        </w:rPr>
        <w:t>Paladin Compliance Governance Binder | Front Matter</w:t>
      </w:r>
    </w:p>
    <w:p>
      <w:pPr>
        <w:spacing w:before="0" w:after="100" w:lineRule="auto" w:line="252"/>
      </w:pPr>
      <w:r>
        <w:rPr>
          <w:rFonts w:ascii="Aptos" w:hAnsi="Aptos" w:eastAsia="Aptos"/>
          <w:b w:val="0"/>
          <w:color w:val="2F3A4A"/>
          <w:sz w:val="19"/>
        </w:rPr>
        <w:t>This front matter section establishes the binder as a controlled governance artifact rather than a generic informational document. The artifact identity records how the binder is intended to be recognized, maintained, verified, relied upon, and recalibrated as operational conditions change.</w:t>
      </w:r>
    </w:p>
    <w:p>
      <w:pPr>
        <w:spacing w:before="0" w:after="100" w:lineRule="auto" w:line="252"/>
      </w:pPr>
      <w:r>
        <w:rPr>
          <w:rFonts w:ascii="Aptos" w:hAnsi="Aptos" w:eastAsia="Aptos"/>
          <w:b w:val="0"/>
          <w:color w:val="2F3A4A"/>
          <w:sz w:val="19"/>
        </w:rPr>
        <w:t>The binder represents a governed operational posture at a point in time. Its institutional value depends on stewardship continuity, evidence-linked revision discipline, and the continuing alignment between documented governance structure and practiced operational reality.</w:t>
      </w:r>
    </w:p>
    <w:p>
      <w:pPr>
        <w:spacing w:before="0" w:after="140" w:lineRule="auto" w:line="252"/>
      </w:pPr>
      <w:r>
        <w:rPr>
          <w:rFonts w:ascii="Aptos" w:hAnsi="Aptos" w:eastAsia="Aptos"/>
          <w:b w:val="0"/>
          <w:color w:val="2F3A4A"/>
          <w:sz w:val="19"/>
        </w:rPr>
        <w:t>Visible governance does not eliminate operational change. A controlled governance artifact remains legitimate only when the organization preserves accountability for maintenance, identifies reliance boundaries, and refreshes representations before governance posture visibility exceeds evidence support.</w:t>
      </w:r>
    </w:p>
    <w:p>
      <w:pPr>
        <w:spacing w:before="160" w:after="40" w:lineRule="auto" w:line="240"/>
        <w:keepNext/>
      </w:pPr>
      <w:r>
        <w:rPr>
          <w:rFonts w:ascii="Aptos" w:hAnsi="Aptos" w:eastAsia="Aptos"/>
          <w:b/>
          <w:color w:val="17365D"/>
          <w:sz w:val="19"/>
        </w:rPr>
        <w:t>Controlled Artifact Identity Elements</w:t>
      </w:r>
    </w:p>
    <w:tbl>
      <w:tblPr>
        <w:tblStyle w:val="TableGrid"/>
        <w:tblW w:type="pct" w:w="5000"/>
        <w:jc w:val="center"/>
        <w:tblLayout w:type="fixed"/>
        <w:tblLook w:firstColumn="1" w:firstRow="1" w:lastColumn="0" w:lastRow="0" w:noHBand="0" w:noVBand="1" w:val="04A0"/>
      </w:tblPr>
      <w:tblGrid>
        <w:gridCol w:w="2088"/>
        <w:gridCol w:w="2952"/>
        <w:gridCol w:w="3096"/>
        <w:gridCol w:w="252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Element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Identity Function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Required Stewardship</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Trust Boundary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Organization identity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Associates the binder with the adopting institution and its governed operating context.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Maintain current organizational naming, scope, and accountable ownership.</w:t>
            </w:r>
          </w:p>
        </w:tc>
        <w:tc>
          <w:tcPr>
            <w:tcW w:type="dxa" w:w="252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Does not imply that every affiliated function is governed by the same controls.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artifact designation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Distinguishes the binder from informal guidance, training content, or unmaintained reference material.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 version control, controlled distribution, and supersession discipline.</w:t>
            </w:r>
          </w:p>
        </w:tc>
        <w:tc>
          <w:tcPr>
            <w:tcW w:type="dxa" w:w="252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Authority depends on revision currency and stewardship continuity.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Verification status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Signals whether the artifact is linked to a maintained verification or register process.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Refresh status when evidence support, scope, or ownership changes.</w:t>
            </w:r>
          </w:p>
        </w:tc>
        <w:tc>
          <w:tcPr>
            <w:tcW w:type="dxa" w:w="252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Verification reflects governed participation, not absolute institutional perfection.</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identifier</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stable reference point for reliance, review, and historical reconstruction.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Retain lineage between current version, superseded versions, and material change rationale.</w:t>
            </w:r>
          </w:p>
        </w:tc>
        <w:tc>
          <w:tcPr>
            <w:tcW w:type="dxa" w:w="252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prior revision may have historical value without representing current posture.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stewardship designation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Identifies the accountable stewardship posture for maintenance and recalibration.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Ensure stewardship survives turnover, process migration, and authority redesign.</w:t>
            </w:r>
          </w:p>
        </w:tc>
        <w:tc>
          <w:tcPr>
            <w:tcW w:type="dxa" w:w="252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Shared visibility does not replace named responsibility.</w:t>
            </w:r>
          </w:p>
        </w:tc>
      </w:tr>
    </w:tbl>
    <w:p>
      <w:pPr>
        <w:spacing w:before="0" w:after="0" w:lineRule="auto" w:line="252"/>
      </w:pPr>
    </w:p>
    <w:p>
      <w:pPr>
        <w:spacing w:before="160" w:after="40" w:lineRule="auto" w:line="240"/>
        <w:keepNext/>
      </w:pPr>
      <w:r>
        <w:rPr>
          <w:rFonts w:ascii="Aptos" w:hAnsi="Aptos" w:eastAsia="Aptos"/>
          <w:b/>
          <w:color w:val="17365D"/>
          <w:sz w:val="19"/>
        </w:rPr>
        <w:t>Governance Document Classification Distinctions</w:t>
      </w:r>
    </w:p>
    <w:tbl>
      <w:tblPr>
        <w:tblStyle w:val="TableGrid"/>
        <w:tblW w:type="pct" w:w="5000"/>
        <w:jc w:val="center"/>
        <w:tblLayout w:type="fixed"/>
        <w:tblLook w:firstColumn="1" w:firstRow="1" w:lastColumn="0" w:lastRow="0" w:noHBand="0" w:noVBand="1" w:val="04A0"/>
      </w:tblPr>
      <w:tblGrid>
        <w:gridCol w:w="1944"/>
        <w:gridCol w:w="3384"/>
        <w:gridCol w:w="3096"/>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Document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Primary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Reliance Character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Misclassification Risk</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artifact</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Preserves governance posture, accountability, authority, and maintenance discipline.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bounded reliance when linked to current evidence and revision control.</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May be treated as ordinary documentation if stewardship expectations are not explicit.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Policy manual</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States rules, expectations, or procedural requirements for a defined audience.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attaches to policy language and approval state.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Can be mistaken for evidence that governance is operating effectively.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Informational document</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Communicates background, orientation, or general reference material.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Limited reliance because controlled revision may not apply.</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May be reused externally after becoming stale or detached from source context.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Assurance-bearing artifact</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confidence claims through evidence, limitation language, and accountable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External reliance may arise when shared, cited, or incorporated by reference.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Unqualified language can create trust beyond the maintained evidence base.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governance reference</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maintained reference architecture for governance interpretation and continuity.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depends on version identity, stewardship, and operational alignment.</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Archived or uncontrolled copies can be interpreted as current governance.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Public trust signal</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Makes governance posture visible to relying audiences.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depends on proportionality between signal, evidence freshness, and scope.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may outlive the controls or evidence that originally supported it.</w:t>
            </w:r>
          </w:p>
        </w:tc>
      </w:tr>
    </w:tbl>
    <w:p>
      <w:pPr>
        <w:spacing w:before="0" w:after="0" w:lineRule="auto" w:line="252"/>
      </w:pPr>
    </w:p>
    <w:p>
      <w:pPr>
        <w:spacing w:before="280" w:after="140" w:lineRule="auto" w:line="240"/>
        <w:keepNext/>
      </w:pPr>
      <w:r>
        <w:rPr>
          <w:rFonts w:ascii="Aptos Display" w:hAnsi="Aptos Display" w:eastAsia="Aptos Display"/>
          <w:b/>
          <w:color w:val="17365D"/>
          <w:sz w:val="30"/>
        </w:rPr>
        <w:t>Controlled Artifact Designation and Verification Identity</w:t>
      </w:r>
    </w:p>
    <w:p>
      <w:pPr>
        <w:spacing w:before="0" w:after="100" w:lineRule="auto" w:line="252"/>
      </w:pPr>
      <w:r>
        <w:rPr>
          <w:rFonts w:ascii="Aptos" w:hAnsi="Aptos" w:eastAsia="Aptos"/>
          <w:b w:val="0"/>
          <w:color w:val="2F3A4A"/>
          <w:sz w:val="19"/>
        </w:rPr>
        <w:t>Controlled designation gives the binder an institutional identity that can survive review cycles, leadership transition, operational redesign, and external reliance. The designation is not a ceremonial label; it defines the maintenance discipline required for the binder to remain credible as governance conditions evolve.</w:t>
      </w:r>
    </w:p>
    <w:p>
      <w:pPr>
        <w:spacing w:before="0" w:after="140" w:lineRule="auto" w:line="252"/>
      </w:pPr>
      <w:r>
        <w:rPr>
          <w:rFonts w:ascii="Aptos" w:hAnsi="Aptos" w:eastAsia="Aptos"/>
          <w:b w:val="0"/>
          <w:color w:val="2F3A4A"/>
          <w:sz w:val="19"/>
        </w:rPr>
        <w:t>Verification identity operates within bounded assurance. A verification reference may support confidence that the artifact participates in a maintained governance process, but it does not convert the binder into unconditional certification or remove the need for evidence review, scope qualification, and operational recalibration.</w:t>
      </w:r>
    </w:p>
    <w:p>
      <w:pPr>
        <w:spacing w:before="160" w:after="40" w:lineRule="auto" w:line="240"/>
        <w:keepNext/>
      </w:pPr>
      <w:r>
        <w:rPr>
          <w:rFonts w:ascii="Aptos" w:hAnsi="Aptos" w:eastAsia="Aptos"/>
          <w:b/>
          <w:color w:val="17365D"/>
          <w:sz w:val="19"/>
        </w:rPr>
        <w:t>Verification Identity Concepts</w:t>
      </w:r>
    </w:p>
    <w:tbl>
      <w:tblPr>
        <w:tblStyle w:val="TableGrid"/>
        <w:tblW w:type="pct" w:w="5000"/>
        <w:jc w:val="center"/>
        <w:tblLayout w:type="fixed"/>
        <w:tblLook w:firstColumn="1" w:firstRow="1" w:lastColumn="0" w:lastRow="0" w:noHBand="0" w:noVBand="1" w:val="04A0"/>
      </w:tblPr>
      <w:tblGrid>
        <w:gridCol w:w="2088"/>
        <w:gridCol w:w="3168"/>
        <w:gridCol w:w="3024"/>
        <w:gridCol w:w="237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Concept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Governance Meaning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Evidence Relationship</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Boundary Condition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Verification identity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Links the artifact to a maintained governance reference, register, or controlled posture record.</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current status, source linkage, and accountable maintenance trail.</w:t>
            </w:r>
          </w:p>
        </w:tc>
        <w:tc>
          <w:tcPr>
            <w:tcW w:type="dxa" w:w="237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Cannot substitute for review of underlying evidence where reliance is material.</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participation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Indicates involvement in a structured stewardship model with defined expectations.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Supported by revision history, stewardship designation, and control alignment artifacts.</w:t>
            </w:r>
          </w:p>
        </w:tc>
        <w:tc>
          <w:tcPr>
            <w:tcW w:type="dxa" w:w="237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Participation is not equivalent to maturity across all operational functions.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Bounded assurance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Frames confidence as scoped, evidence-linked, and subject to maintenance.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Depends on evidence freshness, population coverage, and limitation clarity.</w:t>
            </w:r>
          </w:p>
        </w:tc>
        <w:tc>
          <w:tcPr>
            <w:tcW w:type="dxa" w:w="237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Assurance weakens when scope expands without review.</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Posture visibility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Makes governance structure and stewardship commitments observable to relying parties.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consistency between representation, evidence, and operating reality.</w:t>
            </w:r>
          </w:p>
        </w:tc>
        <w:tc>
          <w:tcPr>
            <w:tcW w:type="dxa" w:w="237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becomes fragile when the represented process has migrated.</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Revision-aware reliance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Ties interpretation of the artifact to a specific version and effective period.</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Supported by supersession records and material change rationale.</w:t>
            </w:r>
          </w:p>
        </w:tc>
        <w:tc>
          <w:tcPr>
            <w:tcW w:type="dxa" w:w="237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Current reliance should not be based on archived or uncontrolled copies.</w:t>
            </w:r>
          </w:p>
        </w:tc>
      </w:tr>
    </w:tbl>
    <w:p>
      <w:pPr>
        <w:spacing w:before="0" w:after="0" w:lineRule="auto" w:line="252"/>
      </w:pPr>
    </w:p>
    <w:p>
      <w:pPr>
        <w:spacing w:before="160" w:after="40" w:lineRule="auto" w:line="240"/>
        <w:keepNext/>
      </w:pPr>
      <w:r>
        <w:rPr>
          <w:rFonts w:ascii="Aptos" w:hAnsi="Aptos" w:eastAsia="Aptos"/>
          <w:b/>
          <w:color w:val="17365D"/>
          <w:sz w:val="19"/>
        </w:rPr>
        <w:t>Controlled-Governance Artifact Characteristics</w:t>
      </w:r>
    </w:p>
    <w:tbl>
      <w:tblPr>
        <w:tblStyle w:val="TableGrid"/>
        <w:tblW w:type="pct" w:w="5000"/>
        <w:jc w:val="center"/>
        <w:tblLayout w:type="fixed"/>
        <w:tblLook w:firstColumn="1" w:firstRow="1" w:lastColumn="0" w:lastRow="0" w:noHBand="0" w:noVBand="1" w:val="04A0"/>
      </w:tblPr>
      <w:tblGrid>
        <w:gridCol w:w="2088"/>
        <w:gridCol w:w="3168"/>
        <w:gridCol w:w="3168"/>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Characteristic</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Operational Requirement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Governance Risk Controlled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Failure Indicator</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Evidence-linked trust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Representations remain connected to source evidence, review basis, and limitation language.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Trust does not expand beyond what the institution can reconstruct.</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Claims are reused while supporting evidence is stale or unavailable.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Operational alignment</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Documented governance remains tied to practiced workflow, authority, and control population.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binder does not preserve a historical model as if it were current.</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Dashboards or summaries remain stable after workflow migration.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continuity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Material changes preserve rationale, ownership, effective date, and supersession logic.</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Future reviewers can distinguish administrative edits from governance-significant revisions.</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Updated language obscures why authority, scope, or evidence changed.</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Stewardship survivability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Maintenance responsibility persists through turnover, vendor change, and process redesign.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binder does not depend on undocumented institutional memory.</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One individual remains the practical source of governance interpretation.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discipline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External and executive-facing signals remain proportional to evidence support and current scope.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posture is not overstated by repetition, formatting, or public availability.</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visible verification reference survives after maintenance activity degrades.</w:t>
            </w:r>
          </w:p>
        </w:tc>
      </w:tr>
    </w:tbl>
    <w:p>
      <w:pPr>
        <w:spacing w:before="0" w:after="0" w:lineRule="auto" w:line="252"/>
      </w:pPr>
    </w:p>
    <w:p>
      <w:pPr>
        <w:spacing w:before="280" w:after="140" w:lineRule="auto" w:line="240"/>
        <w:keepNext/>
      </w:pPr>
      <w:r>
        <w:rPr>
          <w:rFonts w:ascii="Aptos Display" w:hAnsi="Aptos Display" w:eastAsia="Aptos Display"/>
          <w:b/>
          <w:color w:val="17365D"/>
          <w:sz w:val="30"/>
        </w:rPr>
        <w:t>Governance Stewardship and Institutional Trust</w:t>
      </w:r>
    </w:p>
    <w:p>
      <w:pPr>
        <w:spacing w:before="0" w:after="100" w:lineRule="auto" w:line="252"/>
      </w:pPr>
      <w:r>
        <w:rPr>
          <w:rFonts w:ascii="Aptos" w:hAnsi="Aptos" w:eastAsia="Aptos"/>
          <w:b w:val="0"/>
          <w:color w:val="2F3A4A"/>
          <w:sz w:val="19"/>
        </w:rPr>
        <w:t>Stewardship is the continuing institutional responsibility to keep governance explainable, maintainable, bounded, and aligned with operational reality. The binder supports trust when it preserves not only what governance says, but also how authority, evidence, accountability, and revision discipline remain connected over time.</w:t>
      </w:r>
    </w:p>
    <w:p>
      <w:pPr>
        <w:spacing w:before="160" w:after="40" w:lineRule="auto" w:line="240"/>
        <w:keepNext/>
      </w:pPr>
      <w:r>
        <w:rPr>
          <w:rFonts w:ascii="Aptos" w:hAnsi="Aptos" w:eastAsia="Aptos"/>
          <w:b/>
          <w:color w:val="17365D"/>
          <w:sz w:val="19"/>
        </w:rPr>
        <w:t>Governance Stewardship Responsibilities</w:t>
      </w:r>
    </w:p>
    <w:tbl>
      <w:tblPr>
        <w:tblStyle w:val="TableGrid"/>
        <w:tblW w:type="pct" w:w="5000"/>
        <w:jc w:val="center"/>
        <w:tblLayout w:type="fixed"/>
        <w:tblLook w:firstColumn="1" w:firstRow="1" w:lastColumn="0" w:lastRow="0" w:noHBand="0" w:noVBand="1" w:val="04A0"/>
      </w:tblPr>
      <w:tblGrid>
        <w:gridCol w:w="2088"/>
        <w:gridCol w:w="3384"/>
        <w:gridCol w:w="2952"/>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Responsibility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Stewardship Action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Continuity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Institutional Consequence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Maintain artifact identity</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Keep title, designation, organization scope, verification status, and revision identity current.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Identity fields drift after organizational or process change.</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Relying parties cannot determine what the binder represents.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 evidence alignment</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Link representations to current evidence, control scope, and known limitations.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Evidence packages become detached from source systems or governed populations.</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appears complete while excluding material operational reality.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 revision lineage</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Record material revision rationale, effective timing, supersession status, and approving authority.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Historical versions remain in circulation without context.</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Decision reconstruction becomes dependent on memory rather than records.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Bound assurance language</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Qualify governance posture statements by scope, freshness, and reliance audience.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Repeated language becomes broader than the reviewed evidence.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Trust is overstated unintentionally and difficult to recalibrate.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Recalibrate after change</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Trigger review when workflows, vendors, AI-assisted tools, ownership, or reliance expectations shift.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survives as a static artifact while operations evolve.</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Institutional legitimacy weakens before documentation visibly fails.</w:t>
            </w:r>
          </w:p>
        </w:tc>
      </w:tr>
    </w:tbl>
    <w:p>
      <w:pPr>
        <w:spacing w:before="0" w:after="0" w:lineRule="auto" w:line="252"/>
      </w:pPr>
    </w:p>
    <w:p>
      <w:pPr>
        <w:spacing w:before="160" w:after="40" w:lineRule="auto" w:line="240"/>
        <w:keepNext/>
      </w:pPr>
      <w:r>
        <w:rPr>
          <w:rFonts w:ascii="Aptos" w:hAnsi="Aptos" w:eastAsia="Aptos"/>
          <w:b/>
          <w:color w:val="17365D"/>
          <w:sz w:val="19"/>
        </w:rPr>
        <w:t>Institutional Trust Signaling Elements</w:t>
      </w:r>
    </w:p>
    <w:tbl>
      <w:tblPr>
        <w:tblStyle w:val="TableGrid"/>
        <w:tblW w:type="pct" w:w="5000"/>
        <w:jc w:val="center"/>
        <w:tblLayout w:type="fixed"/>
        <w:tblLook w:firstColumn="1" w:firstRow="1" w:lastColumn="0" w:lastRow="0" w:noHBand="0" w:noVBand="1" w:val="04A0"/>
      </w:tblPr>
      <w:tblGrid>
        <w:gridCol w:w="1944"/>
        <w:gridCol w:w="3240"/>
        <w:gridCol w:w="3240"/>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Signal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Legitimate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Stewardship Dependency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Overextension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designation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Shows the artifact is subject to ownership, revision, and maintenance discipline.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controlled copy handling and current version identification.</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designation is used after the document is no longer maintained.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Verification placeholder</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route for register lookup, status confirmation, or maintained artifact reference.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Depends on current verification process and accurate status language.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visible QR or lookup marker implies broader assurance than intended.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Effective date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Anchors the represented governance posture to a specific operating period.</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refresh when governed conditions materially change.</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historical date is interpreted as present-state confirmation.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identifier</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version-specific reliance, supersession control, and reconstruction.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lineage between revisions and preserved rationale.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Users compare content without knowing which revision governed the decision.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Stewardship designation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Identifies the institutional function responsible for keeping the artifact credible.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transition discipline when personnel, vendors, or ownership changes.</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Accountability becomes informal while the document remains authoritative.</w:t>
            </w:r>
          </w:p>
        </w:tc>
      </w:tr>
    </w:tbl>
    <w:p>
      <w:pPr>
        <w:spacing w:before="0" w:after="0" w:lineRule="auto" w:line="252"/>
      </w:pPr>
    </w:p>
    <w:tbl>
      <w:tblPr>
        <w:tblW w:type="pct" w:w="5000"/>
        <w:jc w:val="center"/>
        <w:tblLook w:firstColumn="1" w:firstRow="1" w:lastColumn="0" w:lastRow="0" w:noHBand="0" w:noVBand="1" w:val="04A0"/>
      </w:tblPr>
      <w:tblGrid>
        <w:gridCol w:w="10570"/>
      </w:tblGrid>
      <w:tr>
        <w:tc>
          <w:tcPr>
            <w:tcW w:type="dxa" w:w="10570"/>
            <w:shd w:fill="EEF3F8"/>
            <w:tcBorders>
              <w:top w:val="single" w:sz="8" w:space="0" w:color="B9C4D1"/>
              <w:left w:val="single" w:sz="8" w:space="0" w:color="B9C4D1"/>
              <w:bottom w:val="single" w:sz="8" w:space="0" w:color="B9C4D1"/>
              <w:right w:val="single" w:sz="8" w:space="0" w:color="B9C4D1"/>
            </w:tcBorders>
            <w:tcMar>
              <w:top w:w="130" w:type="dxa"/>
              <w:start w:w="170" w:type="dxa"/>
              <w:bottom w:w="130" w:type="dxa"/>
              <w:end w:w="170" w:type="dxa"/>
            </w:tcMar>
          </w:tcPr>
          <w:p>
            <w:pPr>
              <w:spacing w:before="0" w:after="0" w:lineRule="auto" w:line="259"/>
            </w:pPr>
            <w:r>
              <w:rPr>
                <w:rFonts w:ascii="Aptos" w:hAnsi="Aptos" w:eastAsia="Aptos"/>
                <w:b w:val="0"/>
                <w:color w:val="2F3A4A"/>
                <w:sz w:val="18"/>
              </w:rPr>
              <w:t>This controlled governance artifact is intended to preserve survivable governance through stewardship, accountability, bounded trust, operational alignment, and institutional continuity. Its legitimacy depends on disciplined maintenance of the relationship between visible governance posture, evidence support, accountable authority, and the operating reality the binder represents.</w:t>
            </w:r>
          </w:p>
        </w:tc>
      </w:tr>
    </w:tbl>
    <w:p>
      <w:pPr>
        <w:spacing w:after="60"/>
      </w:pPr>
    </w:p>
    <w:sectPr w:rsidR="00FC693F" w:rsidRPr="0006063C" w:rsidSect="00034616">
      <w:footerReference w:type="default" r:id="rId9"/>
      <w:pgSz w:w="12240" w:h="15840"/>
      <w:pgMar w:top="1037" w:right="835" w:bottom="893" w:left="835"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left"/>
    </w:pPr>
    <w:r>
      <w:rPr>
        <w:rFonts w:ascii="Aptos" w:hAnsi="Aptos" w:eastAsia="Aptos"/>
        <w:b w:val="0"/>
        <w:color w:val="66758A"/>
        <w:sz w:val="14"/>
      </w:rPr>
      <w:t>Paladin Compliance Governance Binder | Front Matter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3A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