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before="0" w:lineRule="auto" w:line="259"/>
        <w:jc w:val="left"/>
      </w:pPr>
      <w:r>
        <w:rPr>
          <w:rFonts w:ascii="Aptos Display" w:hAnsi="Aptos Display" w:eastAsia="Aptos Display"/>
          <w:b/>
          <w:color w:val="17365D"/>
          <w:sz w:val="37"/>
        </w:rPr>
        <w:t>FM-4 Document Control, Revision History, and Governance Maintenance</w:t>
      </w:r>
    </w:p>
    <w:p>
      <w:pPr>
        <w:spacing w:after="0" w:before="0" w:lineRule="auto" w:line="259"/>
        <w:jc w:val="left"/>
      </w:pPr>
      <w:r>
        <w:rPr>
          <w:rFonts w:ascii="Aptos" w:hAnsi="Aptos" w:eastAsia="Aptos"/>
          <w:b/>
          <w:color w:val="66758A"/>
          <w:sz w:val="18"/>
        </w:rPr>
        <w:t>Paladin Compliance Governance Binder | Front Matter</w:t>
      </w:r>
    </w:p>
    <w:tbl>
      <w:tblPr>
        <w:tblStyle w:val="TableGrid"/>
        <w:tblW w:type="dxa" w:w="11160"/>
        <w:tblLayout w:type="fixed"/>
        <w:tblLook w:firstColumn="1" w:firstRow="1" w:lastColumn="0" w:lastRow="0" w:noHBand="0" w:noVBand="1" w:val="04A0"/>
      </w:tblPr>
      <w:tblGrid>
        <w:gridCol w:w="11160"/>
      </w:tblGrid>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color w:val="17365D"/>
                <w:sz w:val="17"/>
              </w:rPr>
              <w:t>Controlled Revision Context</w:t>
            </w:r>
          </w:p>
        </w:tc>
      </w:tr>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val="0"/>
                <w:color w:val="2F3A4A"/>
                <w:sz w:val="17"/>
              </w:rPr>
              <w:t>This front matter section establishes document control, revision governance, and maintenance expectations for the governance binder. Document control is treated as an institutional governance function rather than an administrative filing practice. Revision discipline preserves evidence-linked accountability, continuity of meaning, controlled distribution, supersession integrity, and the ability to reconstruct governance positions after time, turnover, redesign, or external reliance.</w:t>
            </w:r>
          </w:p>
        </w:tc>
      </w:tr>
    </w:tbl>
    <w:p>
      <w:pPr>
        <w:spacing w:after="40"/>
      </w:pPr>
    </w:p>
    <w:p>
      <w:pPr>
        <w:keepLines w:val="0"/>
        <w:spacing w:after="0" w:lineRule="auto" w:line="259" w:before="0"/>
        <w:jc w:val="left"/>
      </w:pPr>
      <w:r>
        <w:rPr>
          <w:rFonts w:ascii="Aptos" w:hAnsi="Aptos" w:eastAsia="Aptos"/>
          <w:b w:val="0"/>
          <w:color w:val="2F3A4A"/>
          <w:sz w:val="18"/>
        </w:rPr>
        <w:t>Document control within this governance framework is the disciplined management of governance artifacts across their controlled lifecycle. It determines which version is authoritative, which copies are relied upon, which changes alter governance meaning, which artifacts remain historical, and which representations must be refreshed, qualified, superseded, or retired. The value of document control is not limited to file custody. Its institutional function is to preserve governance legitimacy over time.</w:t>
      </w:r>
    </w:p>
    <w:p>
      <w:pPr>
        <w:keepLines w:val="0"/>
        <w:spacing w:after="0" w:lineRule="auto" w:line="259" w:before="0"/>
        <w:jc w:val="left"/>
      </w:pPr>
      <w:r>
        <w:rPr>
          <w:rFonts w:ascii="Aptos" w:hAnsi="Aptos" w:eastAsia="Aptos"/>
          <w:b w:val="0"/>
          <w:color w:val="2F3A4A"/>
          <w:sz w:val="18"/>
        </w:rPr>
        <w:t>Governance documents can continue influencing decisions after the operating environment has changed. A superseded section may remain in a shared folder, a historical response may be copied into a current assurance packet, or a familiar revision may be treated as active because it is easier to retrieve than the controlled source. These conditions create representation risk because governance language may appear credible while its evidence basis, authority map, or operational assumptions have changed.</w:t>
      </w:r>
    </w:p>
    <w:p>
      <w:pPr>
        <w:keepLines w:val="0"/>
        <w:spacing w:after="0" w:lineRule="auto" w:line="259" w:before="0"/>
        <w:jc w:val="left"/>
      </w:pPr>
      <w:r>
        <w:rPr>
          <w:rFonts w:ascii="Aptos" w:hAnsi="Aptos" w:eastAsia="Aptos"/>
          <w:b w:val="0"/>
          <w:color w:val="2F3A4A"/>
          <w:sz w:val="18"/>
        </w:rPr>
        <w:t>Revision governance therefore requires more than a date, author, and version number. A governance-significant revision must preserve the reason for change, the operating condition that prompted it, the evidence relationship, the authority that approved it, the affected reliance contexts, and the supersession path. Without revision survivability, documentation may remain visually orderly while institutional memory thins and governance positions become difficult to defend.</w:t>
      </w:r>
    </w:p>
    <w:p>
      <w:pPr>
        <w:keepNext/>
        <w:spacing w:before="0" w:after="0" w:lineRule="auto" w:line="259"/>
        <w:jc w:val="left"/>
      </w:pPr>
      <w:r>
        <w:rPr>
          <w:rFonts w:ascii="Aptos" w:hAnsi="Aptos" w:eastAsia="Aptos"/>
          <w:b/>
          <w:color w:val="17365D"/>
          <w:sz w:val="18"/>
        </w:rPr>
        <w:t>Document Control Principles</w:t>
      </w:r>
    </w:p>
    <w:tbl>
      <w:tblPr>
        <w:tblStyle w:val="TableGrid"/>
        <w:tblW w:type="dxa" w:w="11160"/>
        <w:tblLayout w:type="fixed"/>
        <w:tblLook w:firstColumn="1" w:firstRow="1" w:lastColumn="0" w:lastRow="0" w:noHBand="0" w:noVBand="1" w:val="04A0"/>
      </w:tblPr>
      <w:tblGrid>
        <w:gridCol w:w="1900"/>
        <w:gridCol w:w="2450"/>
        <w:gridCol w:w="2500"/>
        <w:gridCol w:w="2200"/>
        <w:gridCol w:w="21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Principle</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Function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Discipline</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Condition</w:t>
            </w:r>
          </w:p>
        </w:tc>
        <w:tc>
          <w:tcPr>
            <w:tcW w:type="dxa" w:w="21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Risk</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Authoritative source control</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Identifies the controlled version that may be used for governance reliance.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a controlled source location, owner, version status, and effective context.</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Teams rely on local copies or prior exports.</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positions diverge across functions while appearing formally documented.</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lineage</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how and why governance language changed over time.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 rationale, evidence basis, authority, affected sections, and superseded assumptions.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Edits are recorded as wording updates without governance consequence.</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Successor owners cannot reconstruct institutional reasoning.</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 distribution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Limits reliance on outdated, partial, or uncontrolled versions.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Define distribution channels, copy status, recipient expectations, and retirement treatment.</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Uncontrolled copies circulate after supersession.</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or operational decisions may rely on stale governance language.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Evidence-linked revision logic</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Connects revisions to operating facts rather than document maintenance alone.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updates to process change, evidence source, control population, AI influence, or reliance expansion.</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Annual review updates formatting without testing operational reality.</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remains current in appearance but stale in substance.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Archival integrity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historical artifacts for reconstruction without allowing active reliance.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 superseded versions with effective period, replacement reference, and retirement reason.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Historical documents remain accessible without status marking.</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prior governance state is mistaken for current authority.</w:t>
            </w:r>
          </w:p>
        </w:tc>
      </w:tr>
    </w:tbl>
    <w:p>
      <w:pPr>
        <w:spacing w:after="20"/>
      </w:pPr>
    </w:p>
    <w:p>
      <w:pPr>
        <w:pStyle w:val="Heading2"/>
        <w:keepNext/>
      </w:pPr>
      <w:r>
        <w:t>Governance Revision and Institutional Continuity</w:t>
      </w:r>
    </w:p>
    <w:p>
      <w:pPr>
        <w:keepLines w:val="0"/>
        <w:spacing w:after="0" w:lineRule="auto" w:line="259" w:before="0"/>
        <w:jc w:val="left"/>
      </w:pPr>
      <w:r>
        <w:rPr>
          <w:rFonts w:ascii="Aptos" w:hAnsi="Aptos" w:eastAsia="Aptos"/>
          <w:b w:val="0"/>
          <w:color w:val="2F3A4A"/>
          <w:sz w:val="18"/>
        </w:rPr>
        <w:t>Governance revision is an institutional continuity mechanism. It allows the organization to adapt its governance documentation when workflows, controls, evidence sources, authorities, reliance audiences, vendors, or AI-assisted processes change. A disciplined revision does not merely overwrite old language. It preserves the institutional reasoning that explains why the prior position was replaced, what operational reality changed, and how the new position remains connected to evidence and authority.</w:t>
      </w:r>
    </w:p>
    <w:p>
      <w:pPr>
        <w:keepLines w:val="0"/>
        <w:spacing w:after="0" w:lineRule="auto" w:line="259" w:before="0"/>
        <w:jc w:val="left"/>
      </w:pPr>
      <w:r>
        <w:rPr>
          <w:rFonts w:ascii="Aptos" w:hAnsi="Aptos" w:eastAsia="Aptos"/>
          <w:b w:val="0"/>
          <w:color w:val="2F3A4A"/>
          <w:sz w:val="18"/>
        </w:rPr>
        <w:t>Superseded governance retains reconstruction value. Historical versions may explain why a decision was reasonable at the time, what assumptions governed a prior assurance statement, which evidence was available, and how accountability was assigned before a later redesign. Archival discipline prevents historical documents from being treated as current while preserving them as institutional memory. Governance continuity depends on both retirement control and historical intelligibility.</w:t>
      </w:r>
    </w:p>
    <w:p>
      <w:pPr>
        <w:keepNext/>
        <w:spacing w:before="0" w:after="0" w:lineRule="auto" w:line="259"/>
        <w:jc w:val="left"/>
      </w:pPr>
      <w:r>
        <w:rPr>
          <w:rFonts w:ascii="Aptos" w:hAnsi="Aptos" w:eastAsia="Aptos"/>
          <w:b/>
          <w:color w:val="17365D"/>
          <w:sz w:val="18"/>
        </w:rPr>
        <w:t>Revision-State Taxonomy</w:t>
      </w:r>
    </w:p>
    <w:tbl>
      <w:tblPr>
        <w:tblStyle w:val="TableGrid"/>
        <w:tblW w:type="dxa" w:w="11160"/>
        <w:tblLayout w:type="fixed"/>
        <w:tblLook w:firstColumn="1" w:firstRow="1" w:lastColumn="0" w:lastRow="0" w:noHBand="0" w:noVBand="1" w:val="04A0"/>
      </w:tblPr>
      <w:tblGrid>
        <w:gridCol w:w="1900"/>
        <w:gridCol w:w="2500"/>
        <w:gridCol w:w="2450"/>
        <w:gridCol w:w="2200"/>
        <w:gridCol w:w="21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Revision State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Status</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Permitted Use</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Reliance Limitation</w:t>
            </w:r>
          </w:p>
        </w:tc>
        <w:tc>
          <w:tcPr>
            <w:tcW w:type="dxa" w:w="21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Required Control</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Active controlled version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Approved version representing the current governed posture within stated scope.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Primary reference for governance operation, review, and bounded reliance.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remains limited by evidence, scope, effective date, and known limitations.</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source control, owner assignment, and current revision record.</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Pending revision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Known change is being reconciled but has not been approved into the controlled source.</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Interim reference only with explicit update status.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May not support unqualified assurance or external reliance.</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Track interim owner, affected sections, open evidence issues, and decision route.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Superseded version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Prior controlled version replaced by a newer approved state.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Historical reconstruction, change analysis, and prior-period review.</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current governance authority.</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Mark superseded status, effective period, replacement version, and reason for change.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Archived governance artifact</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Retained for institutional memory and reconstruction after retirement.</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rationale recovery, audit preparation, and continuity review.</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May not be copied into current representations without review.</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Store with archival status, retention context, and controlled access expectation.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Uncontrolled copy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Artifact outside revision tracking, distribution governance, or owner stewardship.</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 formal reliance until reconciled against the controlled source.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Status, evidence basis, and applicability may be unknown.</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Replace, retire, or reconcile with source version before use.</w:t>
            </w:r>
          </w:p>
        </w:tc>
      </w:tr>
    </w:tbl>
    <w:p>
      <w:pPr>
        <w:spacing w:after="20"/>
      </w:pPr>
    </w:p>
    <w:p>
      <w:pPr>
        <w:keepNext/>
        <w:spacing w:before="0" w:after="0" w:lineRule="auto" w:line="259"/>
        <w:jc w:val="left"/>
      </w:pPr>
      <w:r>
        <w:rPr>
          <w:rFonts w:ascii="Aptos" w:hAnsi="Aptos" w:eastAsia="Aptos"/>
          <w:b/>
          <w:color w:val="17365D"/>
          <w:sz w:val="18"/>
        </w:rPr>
        <w:t>Change Classification Model</w:t>
      </w:r>
    </w:p>
    <w:tbl>
      <w:tblPr>
        <w:tblStyle w:val="TableGrid"/>
        <w:tblW w:type="dxa" w:w="11160"/>
        <w:tblLayout w:type="fixed"/>
        <w:tblLook w:firstColumn="1" w:firstRow="1" w:lastColumn="0" w:lastRow="0" w:noHBand="0" w:noVBand="1" w:val="04A0"/>
      </w:tblPr>
      <w:tblGrid>
        <w:gridCol w:w="1850"/>
        <w:gridCol w:w="2450"/>
        <w:gridCol w:w="2600"/>
        <w:gridCol w:w="2250"/>
        <w:gridCol w:w="2010"/>
      </w:tblGrid>
      <w:tr>
        <w:trPr>
          <w:tblHeader w:val="true"/>
          <w:cantSplit/>
        </w:trPr>
        <w:tc>
          <w:tcPr>
            <w:tcW w:type="dxa" w:w="18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Change Class</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Meaning</w:t>
            </w:r>
          </w:p>
        </w:tc>
        <w:tc>
          <w:tcPr>
            <w:tcW w:type="dxa" w:w="26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Examples</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Approval Expectation</w:t>
            </w:r>
          </w:p>
        </w:tc>
        <w:tc>
          <w:tcPr>
            <w:tcW w:type="dxa" w:w="20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Traceability Requirement</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Administrative update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Improves formatting, labeling, grammar, or non-substantive presentation without altering governance meaning.</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Corrected heading, table spacing, typographical correction, footer alignment.</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 approval may be sufficient.</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 update date and confirm no governance position changed.</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Clarifying revision</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Improves precision of existing governance language without changing authority, scope, evidence, or obligation.</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Defined term refinement, clearer distinction between review and approval.</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 review with affected stakeholder notice where useful.</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rationale and identify the prior ambiguity addressed.</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Governance-significant change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Alters how a governance concept, control, evidence expectation, or responsibility is understood.</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Revised escalation route, changed evidence sufficiency standard, new maintenance owner.</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Approval by accountable governance authority.</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Link to evidence, decision rationale, affected sections, and reliance implications.</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Operationally material revision</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Changes documentation because operating reality, reliance, process population, or authority structure changed.</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System migration, AI-assisted routing adoption, vendor transition, reorganization, expanded public reliance.</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Cross-functional review and escalation where authority or assurance changes.</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 trigger event, affected control population, evidence refresh, and supersession path.</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Retirement or supersession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Removes a document or section from active governance use while preserving historical value.</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Obsolete procedure, replaced control map, retired assurance statement.</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 and reliance owner approval where external use existed.</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 prior state with effective period, replacement reference, and withdrawal rationale.</w:t>
            </w:r>
          </w:p>
        </w:tc>
      </w:tr>
    </w:tbl>
    <w:p>
      <w:pPr>
        <w:spacing w:after="20"/>
      </w:pPr>
    </w:p>
    <w:p>
      <w:pPr>
        <w:pStyle w:val="Heading2"/>
        <w:keepNext/>
      </w:pPr>
      <w:r>
        <w:t>Document Control Architecture and Maintenance Ownership</w:t>
      </w:r>
    </w:p>
    <w:p>
      <w:pPr>
        <w:keepLines w:val="0"/>
        <w:spacing w:after="0" w:lineRule="auto" w:line="259" w:before="0"/>
        <w:jc w:val="left"/>
      </w:pPr>
      <w:r>
        <w:rPr>
          <w:rFonts w:ascii="Aptos" w:hAnsi="Aptos" w:eastAsia="Aptos"/>
          <w:b w:val="0"/>
          <w:color w:val="2F3A4A"/>
          <w:sz w:val="18"/>
        </w:rPr>
        <w:t>Maintenance ownership is the accountable stewardship of a controlled governance artifact across its lifecycle. The owner is responsible for ensuring that the document remains aligned with operational reality, that revisions preserve rationale and traceability, that uncontrolled copies are not allowed to create unsupported reliance, and that superseded material remains available for reconstruction without being confused for current authority.</w:t>
      </w:r>
    </w:p>
    <w:p>
      <w:pPr>
        <w:keepLines w:val="0"/>
        <w:spacing w:after="0" w:lineRule="auto" w:line="259" w:before="0"/>
        <w:jc w:val="left"/>
      </w:pPr>
      <w:r>
        <w:rPr>
          <w:rFonts w:ascii="Aptos" w:hAnsi="Aptos" w:eastAsia="Aptos"/>
          <w:b w:val="0"/>
          <w:color w:val="2F3A4A"/>
          <w:sz w:val="18"/>
        </w:rPr>
        <w:t>Governance maintenance is distributed across operating teams, governance functions, oversight forums, executive authority, and evidence owners. Distribution does not mean diffusion. Operational teams identify process change and evidence impact. Governance owners control revision logic. Oversight forums test alignment and unresolved exposure. Executives intervene when reliance, authority, funding, public representation, or reputational consequence exceeds ordinary document stewardship.</w:t>
      </w:r>
    </w:p>
    <w:p>
      <w:pPr>
        <w:keepNext/>
        <w:spacing w:before="0" w:after="0" w:lineRule="auto" w:line="259"/>
        <w:jc w:val="left"/>
      </w:pPr>
      <w:r>
        <w:rPr>
          <w:rFonts w:ascii="Aptos" w:hAnsi="Aptos" w:eastAsia="Aptos"/>
          <w:b/>
          <w:color w:val="17365D"/>
          <w:sz w:val="18"/>
        </w:rPr>
        <w:t>Revision Authority Hierarchy</w:t>
      </w:r>
    </w:p>
    <w:tbl>
      <w:tblPr>
        <w:tblStyle w:val="TableGrid"/>
        <w:tblW w:type="dxa" w:w="11160"/>
        <w:tblLayout w:type="fixed"/>
        <w:tblLook w:firstColumn="1" w:firstRow="1" w:lastColumn="0" w:lastRow="0" w:noHBand="0" w:noVBand="1" w:val="04A0"/>
      </w:tblPr>
      <w:tblGrid>
        <w:gridCol w:w="1900"/>
        <w:gridCol w:w="2500"/>
        <w:gridCol w:w="2400"/>
        <w:gridCol w:w="2300"/>
        <w:gridCol w:w="20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Authority Layer</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Decision Scope</w:t>
            </w:r>
          </w:p>
        </w:tc>
        <w:tc>
          <w:tcPr>
            <w:tcW w:type="dxa" w:w="24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Typical Revision Matter</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Boundary of Authority</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Escalation Condition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Controls version status, administrative updates, source location, and routine maintenance.</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Formatting correction, owner field update, archival label, controlled-copy cleanup.</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Cannot approve material change to governance authority, evidence sufficiency, or external assurance.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affects scope, reliance, exposure, or cross-functional responsibility.</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Approves governance-significant changes within the framework's operating model.</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Changed responsibility taxonomy, revised review expectation, updated maintenance cadence.</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Cannot accept residual exposure outside assigned authority.</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changes decision rights, customer-facing assurance, or executive accountability.</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owner</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Validates whether evidence sources, populations, and lineage still support revised language.</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Updated evidence map, source-system migration, freshness change.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Does not determine institutional reliance boundary alone.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weakness affects assurance, verification, or public representation.</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Oversight forum</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Reviews revisions that affect multiple functions, unresolved dependencies, or assurance posture.</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Cross-functional control migration, forum authority update, supersession dispute.</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May lack funding or executive exposure-acceptance authority.</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Remediation requires executive decision or resource allocation.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 authority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Decides revisions involving material reliance, institutional exposure, public posture, or strategic governance consequence.</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Withdrawal of assurance language, acceptance of interim governance limitation, major operating-model redesign.</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Should not perform routine document custody work.</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Institutional trust, external reliance, or residual exposure is materially affected.</w:t>
            </w:r>
          </w:p>
        </w:tc>
      </w:tr>
    </w:tbl>
    <w:p>
      <w:pPr>
        <w:spacing w:after="20"/>
      </w:pPr>
    </w:p>
    <w:p>
      <w:pPr>
        <w:keepNext/>
        <w:spacing w:before="0" w:after="0" w:lineRule="auto" w:line="259"/>
        <w:jc w:val="left"/>
      </w:pPr>
      <w:r>
        <w:rPr>
          <w:rFonts w:ascii="Aptos" w:hAnsi="Aptos" w:eastAsia="Aptos"/>
          <w:b/>
          <w:color w:val="17365D"/>
          <w:sz w:val="18"/>
        </w:rPr>
        <w:t>Governance Maintenance Responsibilities</w:t>
      </w:r>
    </w:p>
    <w:tbl>
      <w:tblPr>
        <w:tblStyle w:val="TableGrid"/>
        <w:tblW w:type="dxa" w:w="11160"/>
        <w:tblLayout w:type="fixed"/>
        <w:tblLook w:firstColumn="1" w:firstRow="1" w:lastColumn="0" w:lastRow="0" w:noHBand="0" w:noVBand="1" w:val="04A0"/>
      </w:tblPr>
      <w:tblGrid>
        <w:gridCol w:w="1900"/>
        <w:gridCol w:w="2200"/>
        <w:gridCol w:w="2600"/>
        <w:gridCol w:w="2400"/>
        <w:gridCol w:w="20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Responsibility</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Primary Steward</w:t>
            </w:r>
          </w:p>
        </w:tc>
        <w:tc>
          <w:tcPr>
            <w:tcW w:type="dxa" w:w="26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Maintenance Evidence</w:t>
            </w:r>
          </w:p>
        </w:tc>
        <w:tc>
          <w:tcPr>
            <w:tcW w:type="dxa" w:w="24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Pattern</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Continuity Control</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Version control</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 source record, active version marker, effective date, and owner register.</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Multiple versions circulate with similar file names and no status distinction.</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Central source location and periodic uncontrolled-copy sweep.</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traceability</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log with rationale, trigger, authority, affected sections, and evidence basis.</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Changes are summarized without explaining governance consequence.</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rationale fields for governance-significant revisions.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alignment</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owner</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map, source population, freshness record, and limitation notes.</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language is refreshed without testing source evidence.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revision approval to evidence review for affected representations.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Distribution legitimacy</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 with reliance owner</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Recipient list, distribution status, excerpt register, and retirement notices.</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parties or teams retain superseded excerpts.</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Controlled-distribution register and withdrawal communications where needed.</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Continuity preservation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 with oversight forum</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Assumption register, decision rationale, supersession history, and unresolved issue log.</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Only long-tenured personnel can explain why a revision occurred.</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Transition review before ownership change or governance redesign.</w:t>
            </w:r>
          </w:p>
        </w:tc>
      </w:tr>
    </w:tbl>
    <w:p>
      <w:pPr>
        <w:spacing w:after="20"/>
      </w:pPr>
    </w:p>
    <w:p>
      <w:pPr>
        <w:pStyle w:val="Heading2"/>
        <w:keepNext/>
      </w:pPr>
      <w:r>
        <w:t>Controlled Distribution, Supersession, and Archive Discipline</w:t>
      </w:r>
    </w:p>
    <w:p>
      <w:pPr>
        <w:keepLines w:val="0"/>
        <w:spacing w:after="0" w:lineRule="auto" w:line="259" w:before="0"/>
        <w:jc w:val="left"/>
      </w:pPr>
      <w:r>
        <w:rPr>
          <w:rFonts w:ascii="Aptos" w:hAnsi="Aptos" w:eastAsia="Aptos"/>
          <w:b w:val="0"/>
          <w:color w:val="2F3A4A"/>
          <w:sz w:val="18"/>
        </w:rPr>
        <w:t>Controlled distribution protects the relationship between governance language and institutional reliance. When copies move outside source control, the organization may lose the ability to determine which version is being used, whether the language is current, and whether reliance remains appropriate. Controlled distribution is therefore a governance legitimacy requirement, not merely a document-management preference.</w:t>
      </w:r>
    </w:p>
    <w:p>
      <w:pPr>
        <w:keepLines w:val="0"/>
        <w:spacing w:after="0" w:lineRule="auto" w:line="259" w:before="0"/>
        <w:jc w:val="left"/>
      </w:pPr>
      <w:r>
        <w:rPr>
          <w:rFonts w:ascii="Aptos" w:hAnsi="Aptos" w:eastAsia="Aptos"/>
          <w:b w:val="0"/>
          <w:color w:val="2F3A4A"/>
          <w:sz w:val="18"/>
        </w:rPr>
        <w:t>Supersession and retirement require equal discipline. Removing a document from active use does not eliminate its institutional value. Historical governance may remain relevant to decision reconstruction, evidence interpretation, prior-period assurance, and continuity analysis. The control problem is not whether the artifact survives. The control problem is whether users can distinguish historical reference from active governance authority.</w:t>
      </w:r>
    </w:p>
    <w:p>
      <w:pPr>
        <w:keepNext/>
        <w:spacing w:before="0" w:after="0" w:lineRule="auto" w:line="259"/>
        <w:jc w:val="left"/>
      </w:pPr>
      <w:r>
        <w:rPr>
          <w:rFonts w:ascii="Aptos" w:hAnsi="Aptos" w:eastAsia="Aptos"/>
          <w:b/>
          <w:color w:val="17365D"/>
          <w:sz w:val="18"/>
        </w:rPr>
        <w:t>Controlled-Copy Distinctions</w:t>
      </w:r>
    </w:p>
    <w:tbl>
      <w:tblPr>
        <w:tblStyle w:val="TableGrid"/>
        <w:tblW w:type="dxa" w:w="11160"/>
        <w:tblLayout w:type="fixed"/>
        <w:tblLook w:firstColumn="1" w:firstRow="1" w:lastColumn="0" w:lastRow="0" w:noHBand="0" w:noVBand="1" w:val="04A0"/>
      </w:tblPr>
      <w:tblGrid>
        <w:gridCol w:w="1900"/>
        <w:gridCol w:w="2500"/>
        <w:gridCol w:w="2450"/>
        <w:gridCol w:w="2300"/>
        <w:gridCol w:w="20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Copy Type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Permitted Use</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Control Requirement</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Misuse Pattern</w:t>
            </w:r>
          </w:p>
        </w:tc>
        <w:tc>
          <w:tcPr>
            <w:tcW w:type="dxa" w:w="20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Correction Mechanism</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 source copy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Authoritative reference for current governance within stated scope.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Owner, version, effective status, and revision log are maintained.</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Users export it and continue relying on the export after revision.</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source confirmation before formal reliance.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Working revision draft</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active editing, review, and governance update preparation.</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Clearly marked as draft with owner, purpose, and open issues.</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Draft wording becomes operationally relied upon before approval.</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Restrict assurance use and reconcile into controlled source.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reference copy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implementation or local process alignment.</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Must identify source version and review date.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Local teams modify language without source reconciliation.</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Periodic comparison to controlled source.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excerpt</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Provides bounded governance language to a customer, partner, investor, or other relying party.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Requires scope, date, limitation, and reuse tracking.</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Excerpt circulates without its evidence or reliance boundary.</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register and excerpt retirement notice.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Archived copy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reconstruction, historical analysis, and prior-period review.</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Must show retired or superseded status and replacement reference.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 is reused as current because it is familiar.</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Status marking and access guidance.</w:t>
            </w:r>
          </w:p>
        </w:tc>
      </w:tr>
    </w:tbl>
    <w:p>
      <w:pPr>
        <w:spacing w:after="20"/>
      </w:pPr>
    </w:p>
    <w:p>
      <w:pPr>
        <w:keepNext/>
        <w:spacing w:before="0" w:after="0" w:lineRule="auto" w:line="259"/>
        <w:jc w:val="left"/>
      </w:pPr>
      <w:r>
        <w:rPr>
          <w:rFonts w:ascii="Aptos" w:hAnsi="Aptos" w:eastAsia="Aptos"/>
          <w:b/>
          <w:color w:val="17365D"/>
          <w:sz w:val="18"/>
        </w:rPr>
        <w:t>Supersession and Retirement States</w:t>
      </w:r>
    </w:p>
    <w:tbl>
      <w:tblPr>
        <w:tblStyle w:val="TableGrid"/>
        <w:tblW w:type="dxa" w:w="11160"/>
        <w:tblLayout w:type="fixed"/>
        <w:tblLook w:firstColumn="1" w:firstRow="1" w:lastColumn="0" w:lastRow="0" w:noHBand="0" w:noVBand="1" w:val="04A0"/>
      </w:tblPr>
      <w:tblGrid>
        <w:gridCol w:w="1700"/>
        <w:gridCol w:w="2600"/>
        <w:gridCol w:w="2500"/>
        <w:gridCol w:w="2400"/>
        <w:gridCol w:w="1960"/>
      </w:tblGrid>
      <w:tr>
        <w:trPr>
          <w:tblHeader w:val="true"/>
          <w:cantSplit/>
        </w:trPr>
        <w:tc>
          <w:tcPr>
            <w:tcW w:type="dxa" w:w="17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State</w:t>
            </w:r>
          </w:p>
        </w:tc>
        <w:tc>
          <w:tcPr>
            <w:tcW w:type="dxa" w:w="26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Meaning</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Required Marking</w:t>
            </w:r>
          </w:p>
        </w:tc>
        <w:tc>
          <w:tcPr>
            <w:tcW w:type="dxa" w:w="24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Reconstruction Value</w:t>
            </w:r>
          </w:p>
        </w:tc>
        <w:tc>
          <w:tcPr>
            <w:tcW w:type="dxa" w:w="19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Reliance Control</w:t>
            </w:r>
          </w:p>
        </w:tc>
      </w:tr>
      <w:tr>
        <w:trPr>
          <w:cantSplit/>
        </w:trPr>
        <w:tc>
          <w:tcPr>
            <w:tcW w:type="dxa" w:w="17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Superseded</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Replaced by a newer controlled version while retaining relevance to prior governance periods.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Superseded status, effective period, replacement reference, and approval date.</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Explains prior governance positions and transition rationale.</w:t>
            </w:r>
          </w:p>
        </w:tc>
        <w:tc>
          <w:tcPr>
            <w:tcW w:type="dxa" w:w="19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used for current reliance unless expressly tied to prior-period review.</w:t>
            </w:r>
          </w:p>
        </w:tc>
      </w:tr>
      <w:tr>
        <w:trPr>
          <w:cantSplit/>
        </w:trPr>
        <w:tc>
          <w:tcPr>
            <w:tcW w:type="dxa" w:w="17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Retired</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Removed from active governance because the process, control, representation, or reliance no longer applies.</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Retired status, retirement reason, owner, and withdrawal date.</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Shows why a governance approach was discontinued.</w:t>
            </w:r>
          </w:p>
        </w:tc>
        <w:tc>
          <w:tcPr>
            <w:tcW w:type="dxa" w:w="19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Prevent reuse in current operating or assurance materials.</w:t>
            </w:r>
          </w:p>
        </w:tc>
      </w:tr>
      <w:tr>
        <w:trPr>
          <w:cantSplit/>
        </w:trPr>
        <w:tc>
          <w:tcPr>
            <w:tcW w:type="dxa" w:w="17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Merged</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Content incorporated into another controlled artifact to reduce duplication or preserve coherence.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Merged status, destination artifact, and affected section reference.</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origin of transferred governance language.</w:t>
            </w:r>
          </w:p>
        </w:tc>
        <w:tc>
          <w:tcPr>
            <w:tcW w:type="dxa" w:w="19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destination artifact as current authority.</w:t>
            </w:r>
          </w:p>
        </w:tc>
      </w:tr>
      <w:tr>
        <w:trPr>
          <w:cantSplit/>
        </w:trPr>
        <w:tc>
          <w:tcPr>
            <w:tcW w:type="dxa" w:w="17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Withdrawn</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Removed because the artifact or representation can no longer be supported by evidence or authority.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Withdrawal basis, affected audiences, and corrective communication record.</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Documents limitation recognition and trust-preservation action.</w:t>
            </w:r>
          </w:p>
        </w:tc>
        <w:tc>
          <w:tcPr>
            <w:tcW w:type="dxa" w:w="19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Notify reliance owners and remove visible assurance where needed.</w:t>
            </w:r>
          </w:p>
        </w:tc>
      </w:tr>
      <w:tr>
        <w:trPr>
          <w:cantSplit/>
        </w:trPr>
        <w:tc>
          <w:tcPr>
            <w:tcW w:type="dxa" w:w="17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Historical only</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Retained solely for institutional memory, prior decisions, or reconstruction.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Historical reference label and no-current-authority statement.</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understanding of previous operating assumptions.</w:t>
            </w:r>
          </w:p>
        </w:tc>
        <w:tc>
          <w:tcPr>
            <w:tcW w:type="dxa" w:w="19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Access controlled to prevent accidental current use.</w:t>
            </w:r>
          </w:p>
        </w:tc>
      </w:tr>
    </w:tbl>
    <w:p>
      <w:pPr>
        <w:spacing w:after="20"/>
      </w:pPr>
    </w:p>
    <w:p>
      <w:pPr>
        <w:pStyle w:val="Heading2"/>
        <w:keepNext/>
      </w:pPr>
      <w:r>
        <w:t>Governance Refresh Discipline and Escalation</w:t>
      </w:r>
    </w:p>
    <w:p>
      <w:pPr>
        <w:keepLines w:val="0"/>
        <w:spacing w:after="0" w:lineRule="auto" w:line="259" w:before="0"/>
        <w:jc w:val="left"/>
      </w:pPr>
      <w:r>
        <w:rPr>
          <w:rFonts w:ascii="Aptos" w:hAnsi="Aptos" w:eastAsia="Aptos"/>
          <w:b w:val="0"/>
          <w:color w:val="2F3A4A"/>
          <w:sz w:val="18"/>
        </w:rPr>
        <w:t>Governance refresh discipline connects document maintenance to operating reality. Refresh may be triggered by review cadence, but cadence alone is insufficient. Material workflow change, evidence migration, public reliance expansion, AI-assisted process adoption, authority transition, unresolved exceptions, vendor redesign, or customer assurance reuse may require revision outside the ordinary review cycle. A controlled governance lifecycle depends on event-driven recalibration as well as scheduled review.</w:t>
      </w:r>
    </w:p>
    <w:p>
      <w:pPr>
        <w:keepLines w:val="0"/>
        <w:spacing w:after="0" w:lineRule="auto" w:line="259" w:before="0"/>
        <w:jc w:val="left"/>
      </w:pPr>
      <w:r>
        <w:rPr>
          <w:rFonts w:ascii="Aptos" w:hAnsi="Aptos" w:eastAsia="Aptos"/>
          <w:b w:val="0"/>
          <w:color w:val="2F3A4A"/>
          <w:sz w:val="18"/>
        </w:rPr>
        <w:t>Maintenance escalation occurs when a document-control issue begins to affect governance reliance. If a revision changes authority, evidence sufficiency, public assurance, control scope, dependency ownership, or residual exposure, the matter is no longer routine document maintenance. It becomes a governance decision requiring the appropriate authority layer, evidence review, and reliance assessment.</w:t>
      </w:r>
    </w:p>
    <w:p>
      <w:pPr>
        <w:keepNext/>
        <w:spacing w:before="0" w:after="0" w:lineRule="auto" w:line="259"/>
        <w:jc w:val="left"/>
      </w:pPr>
      <w:r>
        <w:rPr>
          <w:rFonts w:ascii="Aptos" w:hAnsi="Aptos" w:eastAsia="Aptos"/>
          <w:b/>
          <w:color w:val="17365D"/>
          <w:sz w:val="18"/>
        </w:rPr>
        <w:t>Governance Refresh Triggers</w:t>
      </w:r>
    </w:p>
    <w:tbl>
      <w:tblPr>
        <w:tblStyle w:val="TableGrid"/>
        <w:tblW w:type="dxa" w:w="11160"/>
        <w:tblLayout w:type="fixed"/>
        <w:tblLook w:firstColumn="1" w:firstRow="1" w:lastColumn="0" w:lastRow="0" w:noHBand="0" w:noVBand="1" w:val="04A0"/>
      </w:tblPr>
      <w:tblGrid>
        <w:gridCol w:w="1900"/>
        <w:gridCol w:w="2500"/>
        <w:gridCol w:w="2450"/>
        <w:gridCol w:w="2200"/>
        <w:gridCol w:w="21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Trigger</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Why It Matters</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Revision Question</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Risk of Delay</w:t>
            </w:r>
          </w:p>
        </w:tc>
        <w:tc>
          <w:tcPr>
            <w:tcW w:type="dxa" w:w="21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Required Maintenance Action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Workflow migration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Documented controls and evidence may reference the prior process population.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Does the document still describe where work actually occurs?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remains complete while excluding material activity.</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process maps, evidence source, and affected assurance language.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transition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rights may no longer match the documented owner or forum.</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Who can approve, escalate, fund, or accept residual exposure now?</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Issues circulate without accountable ownership.</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Update authority map and transfer rationale, open issues, and approval history.</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or customer reliance expansion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Internal governance language may become an external representation.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What evidence and limitation support the relied-upon statement?</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exceeds the document's supportable basis.</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Route through representation review and record reuse context.</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AI-assisted process change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Generated summaries, routing, or prioritization may alter governance behavior without visible process redesign.</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Has AI influence changed evidence interpretation, escalation priority, or decision confidence?</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Formal documentation lags operational reality.</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AI influence and reassess governance thresholds and monitoring.</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integrity concern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Revisions may rely on artifacts whose source, population, or meaning has changed.</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Can a reviewer reconstruct what the evidence proves and excludes?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appears credible but fails under review.</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evidence lineage, limitation notes, and revision basis.</w:t>
            </w:r>
          </w:p>
        </w:tc>
      </w:tr>
    </w:tbl>
    <w:p>
      <w:pPr>
        <w:spacing w:after="20"/>
      </w:pPr>
    </w:p>
    <w:p>
      <w:pPr>
        <w:keepNext/>
        <w:spacing w:before="0" w:after="0" w:lineRule="auto" w:line="259"/>
        <w:jc w:val="left"/>
      </w:pPr>
      <w:r>
        <w:rPr>
          <w:rFonts w:ascii="Aptos" w:hAnsi="Aptos" w:eastAsia="Aptos"/>
          <w:b/>
          <w:color w:val="17365D"/>
          <w:sz w:val="18"/>
        </w:rPr>
        <w:t>Governance Maintenance Escalation Triggers</w:t>
      </w:r>
    </w:p>
    <w:tbl>
      <w:tblPr>
        <w:tblStyle w:val="TableGrid"/>
        <w:tblW w:type="dxa" w:w="11160"/>
        <w:tblLayout w:type="fixed"/>
        <w:tblLook w:firstColumn="1" w:firstRow="1" w:lastColumn="0" w:lastRow="0" w:noHBand="0" w:noVBand="1" w:val="04A0"/>
      </w:tblPr>
      <w:tblGrid>
        <w:gridCol w:w="1900"/>
        <w:gridCol w:w="2350"/>
        <w:gridCol w:w="2350"/>
        <w:gridCol w:w="2300"/>
        <w:gridCol w:w="22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Condition</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Document-Control Signal</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Exposure</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Escalation Destination</w:t>
            </w:r>
          </w:p>
        </w:tc>
        <w:tc>
          <w:tcPr>
            <w:tcW w:type="dxa" w:w="22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Expected Outcome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Unresolved ownership</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 current owner accepts responsibility for a controlled artifact or revision decision.</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language persists without stewardship.</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 or oversight forum.</w:t>
            </w:r>
          </w:p>
        </w:tc>
        <w:tc>
          <w:tcPr>
            <w:tcW w:type="dxa" w:w="22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Assign owner, interim limitation, and maintenance route.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Conflicting active copies</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Two versions are being used as if each is authoritative.</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and assurance inconsistency across teams.</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 with governance owner review.</w:t>
            </w:r>
          </w:p>
        </w:tc>
        <w:tc>
          <w:tcPr>
            <w:tcW w:type="dxa" w:w="22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Identify controlled source and retire conflicting copies.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Stale external excerpt</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Previously issued language remains in use after underlying support changes.</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may exceed evidence or scope.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owner and executive authority if material.</w:t>
            </w:r>
          </w:p>
        </w:tc>
        <w:tc>
          <w:tcPr>
            <w:tcW w:type="dxa" w:w="22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Qualify, replace, or withdraw the excerpt.</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affects residual exposure</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Proposed wording changes who owns or accepts unresolved risk.</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Accountability may move without decision authority.</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 authority or designated exposure owner.</w:t>
            </w:r>
          </w:p>
        </w:tc>
        <w:tc>
          <w:tcPr>
            <w:tcW w:type="dxa" w:w="22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 decision, authority, rationale, and limitations.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 status dispute</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Teams disagree whether a document is historical, superseded, or current.</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Prior-period language may drive current action.</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Oversight forum or governance owner.</w:t>
            </w:r>
          </w:p>
        </w:tc>
        <w:tc>
          <w:tcPr>
            <w:tcW w:type="dxa" w:w="22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Resolve status and document supersession path.</w:t>
            </w:r>
          </w:p>
        </w:tc>
      </w:tr>
    </w:tbl>
    <w:p>
      <w:pPr>
        <w:spacing w:after="20"/>
      </w:pPr>
    </w:p>
    <w:p>
      <w:pPr>
        <w:pStyle w:val="Heading2"/>
        <w:keepNext/>
      </w:pPr>
      <w:r>
        <w:t>Document Control and Governance Maintenance Operating Standard</w:t>
      </w:r>
    </w:p>
    <w:p>
      <w:pPr>
        <w:keepLines w:val="0"/>
        <w:spacing w:after="0" w:lineRule="auto" w:line="259" w:before="0"/>
        <w:jc w:val="left"/>
      </w:pPr>
      <w:r>
        <w:rPr>
          <w:rFonts w:ascii="Aptos" w:hAnsi="Aptos" w:eastAsia="Aptos"/>
          <w:b w:val="0"/>
          <w:color w:val="2F3A4A"/>
          <w:sz w:val="18"/>
        </w:rPr>
        <w:t>Document control under this framework shall be maintained as a governance function. Each controlled artifact shall have an authoritative source, identifiable owner, revision status, effective context, distribution expectation, evidence relationship, and supersession path. A document shall not be treated as reliable for governance reliance merely because it is available, polished, familiar, or historically approved.</w:t>
      </w:r>
    </w:p>
    <w:p>
      <w:pPr>
        <w:keepLines w:val="0"/>
        <w:spacing w:after="0" w:lineRule="auto" w:line="259" w:before="0"/>
        <w:jc w:val="left"/>
      </w:pPr>
      <w:r>
        <w:rPr>
          <w:rFonts w:ascii="Aptos" w:hAnsi="Aptos" w:eastAsia="Aptos"/>
          <w:b w:val="0"/>
          <w:color w:val="2F3A4A"/>
          <w:sz w:val="18"/>
        </w:rPr>
        <w:t>Organizations implementing this framework shall distinguish administrative updates from governance-significant changes and operationally material revisions. Where a change affects evidence sufficiency, authority, control scope, escalation routing, public assurance, customer reliance, AI-assisted process influence, or residual exposure, the revision shall be reviewed through the appropriate governance authority and shall preserve the rationale, evidence basis, affected reliance contexts, and supersession treatment.</w:t>
      </w:r>
    </w:p>
    <w:p>
      <w:pPr>
        <w:keepLines w:val="0"/>
        <w:spacing w:after="0" w:lineRule="auto" w:line="259" w:before="0"/>
        <w:jc w:val="left"/>
      </w:pPr>
      <w:r>
        <w:rPr>
          <w:rFonts w:ascii="Aptos" w:hAnsi="Aptos" w:eastAsia="Aptos"/>
          <w:b w:val="0"/>
          <w:color w:val="2F3A4A"/>
          <w:sz w:val="18"/>
        </w:rPr>
        <w:t>Controlled distribution shall be maintained to prevent stale, partial, or uncontrolled documents from creating unsupported governance reliance. Working drafts, operational reference copies, external excerpts, historical archives, superseded artifacts, and retired documents shall be clearly distinguished. Where language has been externally relied upon, supersession or withdrawal shall include representation review and reliance-owner coordination.</w:t>
      </w:r>
    </w:p>
    <w:p>
      <w:pPr>
        <w:keepLines w:val="0"/>
        <w:spacing w:after="0" w:lineRule="auto" w:line="259" w:before="0"/>
        <w:jc w:val="left"/>
      </w:pPr>
      <w:r>
        <w:rPr>
          <w:rFonts w:ascii="Aptos" w:hAnsi="Aptos" w:eastAsia="Aptos"/>
          <w:b w:val="0"/>
          <w:color w:val="2F3A4A"/>
          <w:sz w:val="18"/>
        </w:rPr>
        <w:t>Governance maintenance shall preserve institutional memory. Revision history shall explain why governance language changed, what operating reality changed, what evidence supported the new position, who had authority, what assumptions changed, and what conditions require future recalibration. Documentation that cannot explain its own evolution shall be treated as fragile. The document-control test is controlled governance continuity: future operators must be able to identify authority, replacement history, rationale, evidence basis, supported reliance, limitations, and current operational alignment.</w:t>
      </w:r>
    </w:p>
    <w:sectPr w:rsidR="00FC693F" w:rsidRPr="0006063C" w:rsidSect="00034616">
      <w:footerReference w:type="default" r:id="rId9"/>
      <w:pgSz w:w="12240" w:h="15840"/>
      <w:pgMar w:top="1037" w:right="835" w:bottom="893"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Rule="auto" w:line="259"/>
      <w:jc w:val="left"/>
    </w:pPr>
    <w:r>
      <w:rPr>
        <w:rFonts w:ascii="Aptos" w:hAnsi="Aptos" w:eastAsia="Aptos"/>
        <w:b w:val="0"/>
        <w:color w:val="66758A"/>
        <w:sz w:val="16"/>
      </w:rPr>
      <w:t>Paladin Compliance Governance Binder | Front Matter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4"/>
    </w:pPr>
    <w:rPr>
      <w:rFonts w:ascii="Aptos" w:hAnsi="Aptos" w:eastAsia="Aptos"/>
      <w:color w:val="2F3A4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eastAsia="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ptos" w:hAnsi="Aptos" w:eastAsia="Aptos"/>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3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