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before="0" w:lineRule="auto" w:line="259"/>
        <w:jc w:val="left"/>
      </w:pPr>
      <w:r>
        <w:rPr>
          <w:rFonts w:ascii="Aptos Display" w:hAnsi="Aptos Display" w:eastAsia="Aptos Display"/>
          <w:b/>
          <w:color w:val="17365D"/>
          <w:sz w:val="37"/>
        </w:rPr>
        <w:t>FM-6 Executive Governance Overview</w:t>
      </w:r>
    </w:p>
    <w:p>
      <w:pPr>
        <w:spacing w:after="0" w:before="0" w:lineRule="auto" w:line="259"/>
        <w:jc w:val="left"/>
      </w:pPr>
      <w:r>
        <w:rPr>
          <w:rFonts w:ascii="Aptos" w:hAnsi="Aptos" w:eastAsia="Aptos"/>
          <w:b/>
          <w:color w:val="66758A"/>
          <w:sz w:val="18"/>
        </w:rPr>
        <w:t>Paladin Compliance Governance Binder | Front Matter</w:t>
      </w:r>
    </w:p>
    <w:tbl>
      <w:tblPr>
        <w:tblStyle w:val="TableGrid"/>
        <w:tblW w:type="dxa" w:w="11160"/>
        <w:tblLayout w:type="fixed"/>
        <w:tblLook w:firstColumn="1" w:firstRow="1" w:lastColumn="0" w:lastRow="0" w:noHBand="0" w:noVBand="1" w:val="04A0"/>
      </w:tblPr>
      <w:tblGrid>
        <w:gridCol w:w="11160"/>
      </w:tblGrid>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color w:val="17365D"/>
                <w:sz w:val="17"/>
              </w:rPr>
              <w:t>Executive Orientation</w:t>
            </w:r>
          </w:p>
        </w:tc>
      </w:tr>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val="0"/>
                <w:color w:val="2F3A4A"/>
                <w:sz w:val="17"/>
              </w:rPr>
              <w:t>This front matter section orients executive and oversight stakeholders to the governance framework as an institutional stewardship system. The binder is intended to support accountable governance operation, evidence-linked assurance, decision survivability, bounded reliance, and long-horizon trust preservation. It is not an assertion of operational perfection, a substitute for current evidence, or a static policy repository detached from the organization that adopts and maintains it.</w:t>
            </w:r>
          </w:p>
        </w:tc>
      </w:tr>
    </w:tbl>
    <w:p>
      <w:pPr>
        <w:spacing w:after="40"/>
      </w:pPr>
    </w:p>
    <w:p>
      <w:pPr>
        <w:keepLines w:val="0"/>
        <w:spacing w:after="0" w:lineRule="auto" w:line="259" w:before="0"/>
        <w:jc w:val="left"/>
      </w:pPr>
      <w:r>
        <w:rPr>
          <w:rFonts w:ascii="Aptos" w:hAnsi="Aptos" w:eastAsia="Aptos"/>
          <w:b w:val="0"/>
          <w:color w:val="2F3A4A"/>
          <w:sz w:val="18"/>
        </w:rPr>
        <w:t>This governance binder establishes a structured operating philosophy for organizations seeking to preserve institutional trust through disciplined governance. Its purpose is to make governance understandable, maintainable, evidence-linked, and capable of adaptation under changing operational conditions. The binder should be read as an institutional governance reference architecture rather than an employee handbook, training manual, or generic compliance narrative.</w:t>
      </w:r>
    </w:p>
    <w:p>
      <w:pPr>
        <w:keepLines w:val="0"/>
        <w:spacing w:after="0" w:lineRule="auto" w:line="259" w:before="0"/>
        <w:jc w:val="left"/>
      </w:pPr>
      <w:r>
        <w:rPr>
          <w:rFonts w:ascii="Aptos" w:hAnsi="Aptos" w:eastAsia="Aptos"/>
          <w:b w:val="0"/>
          <w:color w:val="2F3A4A"/>
          <w:sz w:val="18"/>
        </w:rPr>
        <w:t>Executive interpretation of the binder should begin with a practical premise: governance is legitimate only when it remains connected to operational reality. Documentation, committee cadence, public verification, assurance language, and control inventories provide value only when they are tied to actual authority, current evidence, accountable ownership, monitored dependencies, and the ability to correct drift. When governance becomes ceremonial, the institution may preserve the appearance of oversight while losing the capacity to explain decisions, limitations, and residual exposure.</w:t>
      </w:r>
    </w:p>
    <w:p>
      <w:pPr>
        <w:keepLines w:val="0"/>
        <w:spacing w:after="0" w:lineRule="auto" w:line="259" w:before="0"/>
        <w:jc w:val="left"/>
      </w:pPr>
      <w:r>
        <w:rPr>
          <w:rFonts w:ascii="Aptos" w:hAnsi="Aptos" w:eastAsia="Aptos"/>
          <w:b w:val="0"/>
          <w:color w:val="2F3A4A"/>
          <w:sz w:val="18"/>
        </w:rPr>
        <w:t>The framework therefore emphasizes survivable governance. A governance system is survivable when it can be understood after turnover, tested after change, challenged after external reliance, recalibrated after drift, and reconstructed after a material decision. Executive stewardship is not measured by the volume of governance artifacts. It is measured by whether the institution can maintain alignment among evidence, authority, accountability, adaptation, and trust over time.</w:t>
      </w:r>
    </w:p>
    <w:p>
      <w:pPr>
        <w:keepNext/>
        <w:spacing w:before="0" w:after="0" w:lineRule="auto" w:line="259"/>
        <w:jc w:val="left"/>
      </w:pPr>
      <w:r>
        <w:rPr>
          <w:rFonts w:ascii="Aptos" w:hAnsi="Aptos" w:eastAsia="Aptos"/>
          <w:b/>
          <w:color w:val="17365D"/>
          <w:sz w:val="18"/>
        </w:rPr>
        <w:t>Governance Operating Philosophy Principles</w:t>
      </w:r>
    </w:p>
    <w:tbl>
      <w:tblPr>
        <w:tblStyle w:val="TableGrid"/>
        <w:tblW w:type="dxa" w:w="11160"/>
        <w:tblLayout w:type="fixed"/>
        <w:tblLook w:firstColumn="1" w:firstRow="1" w:lastColumn="0" w:lastRow="0" w:noHBand="0" w:noVBand="1" w:val="04A0"/>
      </w:tblPr>
      <w:tblGrid>
        <w:gridCol w:w="1900"/>
        <w:gridCol w:w="2500"/>
        <w:gridCol w:w="2500"/>
        <w:gridCol w:w="2200"/>
        <w:gridCol w:w="20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Principle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Executive Meaning</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Discipline</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Pattern</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Stewardship Response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as stewardship</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exists to preserve institutional trust, decision quality, and operating legitimacy.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Treat controls, forums, evidence, and assurance as connected governance infrastructure.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becomes a document collection without operational force.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evidence, authority, and accountability to remain linked to governance statements.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Reality over appearance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Formal activity does not prove effective oversight unless it affects decisions and behavior.</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Test documentation, dashboards, and reports against actual workflow and exception patterns.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Meetings continue while unresolved exposure migrates outside formal review.</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challenge, sampling, and escalation to test whether governance reflects reality.</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Bounded assurance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is preserved by confidence that matches evidence and limitation, not by broad claims.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Attach scope, date, evidence basis, and limitation to relied-upon governance language.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audiences infer more assurance than the institution can support.</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Qualify, refresh, or withdraw statements when support changes.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Adaptive continuity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must evolve without fragmenting into disconnected local practices.</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change triggers, reassessment, and controlled revision to preserve coherence.</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Operations modernize faster than governance artifacts.</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Treat material workflow, vendor, AI, and authority changes as governance events.</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Survivable accountability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Future operators must be able to determine who decided, who reviewed, and who owns residual exposure.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decision rationale, role boundaries, escalation records, and evidence-linked ownership.</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Consensus obscures responsibility and discussion replaces decision records.</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Distinguish participation, review, approval, escalation, and exposure acceptance.</w:t>
            </w:r>
          </w:p>
        </w:tc>
      </w:tr>
    </w:tbl>
    <w:p>
      <w:pPr>
        <w:spacing w:after="20"/>
      </w:pPr>
    </w:p>
    <w:p>
      <w:pPr>
        <w:pStyle w:val="Heading2"/>
        <w:keepNext/>
      </w:pPr>
      <w:r>
        <w:t>Governance as a Long-Horizon Institutional Discipline</w:t>
      </w:r>
    </w:p>
    <w:p>
      <w:pPr>
        <w:keepLines w:val="0"/>
        <w:spacing w:after="0" w:lineRule="auto" w:line="259" w:before="0"/>
        <w:jc w:val="left"/>
      </w:pPr>
      <w:r>
        <w:rPr>
          <w:rFonts w:ascii="Aptos" w:hAnsi="Aptos" w:eastAsia="Aptos"/>
          <w:b w:val="0"/>
          <w:color w:val="2F3A4A"/>
          <w:sz w:val="18"/>
        </w:rPr>
        <w:t>Governance is a long-horizon institutional discipline because it must preserve trust, accountability, and decision survivability beyond the immediate operating cycle. A process can function successfully in ordinary conditions while becoming difficult to defend after growth, leadership transition, system migration, public reliance, vendor change, AI-assisted workflow expansion, or external challenge. The framework is designed to preserve the organization's ability to explain how governance was operating when conditions changed.</w:t>
      </w:r>
    </w:p>
    <w:p>
      <w:pPr>
        <w:keepLines w:val="0"/>
        <w:spacing w:after="0" w:lineRule="auto" w:line="259" w:before="0"/>
        <w:jc w:val="left"/>
      </w:pPr>
      <w:r>
        <w:rPr>
          <w:rFonts w:ascii="Aptos" w:hAnsi="Aptos" w:eastAsia="Aptos"/>
          <w:b w:val="0"/>
          <w:color w:val="2F3A4A"/>
          <w:sz w:val="18"/>
        </w:rPr>
        <w:t>Long-horizon governance requires disciplined adaptation. Controls must evolve when workflows move. Evidence must be refreshed when source populations change. Assurance must be qualified when limitations become material. Escalation paths must be recalibrated when authority shifts. Monitoring must be challenged when positive signals become too familiar. Without this recalibration, governance can become historically anchored to a prior operating model while continuing to appear organized.</w:t>
      </w:r>
    </w:p>
    <w:p>
      <w:pPr>
        <w:keepLines w:val="0"/>
        <w:spacing w:after="0" w:lineRule="auto" w:line="259" w:before="0"/>
        <w:jc w:val="left"/>
      </w:pPr>
      <w:r>
        <w:rPr>
          <w:rFonts w:ascii="Aptos" w:hAnsi="Aptos" w:eastAsia="Aptos"/>
          <w:b w:val="0"/>
          <w:color w:val="2F3A4A"/>
          <w:sz w:val="18"/>
        </w:rPr>
        <w:t>The binder's executive purpose is to make stewardship visible without converting visibility into overstatement. Governance participation, verification, and documentation support trust only when they remain connected to current evidence, accountable authority, and active maintenance. Sustainable governance depends on institutional humility: the disciplined recognition that the governance system may be observing the wrong signals, preserving stale assumptions, or overstating confidence unless it is periodically tested against reality.</w:t>
      </w:r>
    </w:p>
    <w:p>
      <w:pPr>
        <w:keepNext/>
        <w:spacing w:before="0" w:after="0" w:lineRule="auto" w:line="259"/>
        <w:jc w:val="left"/>
      </w:pPr>
      <w:r>
        <w:rPr>
          <w:rFonts w:ascii="Aptos" w:hAnsi="Aptos" w:eastAsia="Aptos"/>
          <w:b/>
          <w:color w:val="17365D"/>
          <w:sz w:val="18"/>
        </w:rPr>
        <w:t>Institutional Stewardship Concepts</w:t>
      </w:r>
    </w:p>
    <w:tbl>
      <w:tblPr>
        <w:tblStyle w:val="TableGrid"/>
        <w:tblW w:type="dxa" w:w="11160"/>
        <w:tblLayout w:type="fixed"/>
        <w:tblLook w:firstColumn="1" w:firstRow="1" w:lastColumn="0" w:lastRow="0" w:noHBand="0" w:noVBand="1" w:val="04A0"/>
      </w:tblPr>
      <w:tblGrid>
        <w:gridCol w:w="1900"/>
        <w:gridCol w:w="2450"/>
        <w:gridCol w:w="2300"/>
        <w:gridCol w:w="2500"/>
        <w:gridCol w:w="20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Concept</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Function</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Executive Concern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Example</w:t>
            </w:r>
          </w:p>
        </w:tc>
        <w:tc>
          <w:tcPr>
            <w:tcW w:type="dxa" w:w="20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Stewardship Discipline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Stewardship discipline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Maintains governance as an accountable operating system rather than administrative form.</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Formal ownership may not equal active care.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control owner performs tasks but does not know the assurance deadline the control supports.</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Map execution, review, approval, escalation, and reliance ownership.</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Institutional continuity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governance meaning through turnover, redesign, and growth.</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Critical rationale may remain in undocumented institutional memory.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Only one coordinator can explain why exceptions are routed outside a committee.</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Capture rationale, assumptions, dependency maps, and transition obligations.</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calibration</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Keeps public, customer, investor, and executive confidence proportional to evidence.</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Visible governance posture can exceed support.</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public verification page remains current-looking after evidence maintenance slows.</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trust signals to evidence freshness, ownership, and withdrawal criteria.</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humility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Recognizes that stable reporting may mask blind spots or drift.</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Positive signals can reduce skepticism.</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Dashboards remain green while work moves to a new queue outside the control population.</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challenge of favorable reporting after material change.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legitimacy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Ensures the institution can explain not just what occurred but how it was governed.</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success may be mistaken for governed operation.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Deadlines are met through informal bypass of approval thresholds.</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Trace outcomes to evidence, authority, exception handling, and decision rationale.</w:t>
            </w:r>
          </w:p>
        </w:tc>
      </w:tr>
    </w:tbl>
    <w:p>
      <w:pPr>
        <w:spacing w:after="20"/>
      </w:pPr>
    </w:p>
    <w:p>
      <w:pPr>
        <w:keepNext/>
        <w:spacing w:before="0" w:after="0" w:lineRule="auto" w:line="259"/>
        <w:jc w:val="left"/>
      </w:pPr>
      <w:r>
        <w:rPr>
          <w:rFonts w:ascii="Aptos" w:hAnsi="Aptos" w:eastAsia="Aptos"/>
          <w:b/>
          <w:color w:val="17365D"/>
          <w:sz w:val="18"/>
        </w:rPr>
        <w:t>Survivable Governance Characteristics</w:t>
      </w:r>
    </w:p>
    <w:tbl>
      <w:tblPr>
        <w:tblStyle w:val="TableGrid"/>
        <w:tblW w:type="dxa" w:w="11160"/>
        <w:tblLayout w:type="fixed"/>
        <w:tblLook w:firstColumn="1" w:firstRow="1" w:lastColumn="0" w:lastRow="0" w:noHBand="0" w:noVBand="1" w:val="04A0"/>
      </w:tblPr>
      <w:tblGrid>
        <w:gridCol w:w="1850"/>
        <w:gridCol w:w="2500"/>
        <w:gridCol w:w="2300"/>
        <w:gridCol w:w="2450"/>
        <w:gridCol w:w="2060"/>
      </w:tblGrid>
      <w:tr>
        <w:trPr>
          <w:tblHeader w:val="true"/>
          <w:cantSplit/>
        </w:trPr>
        <w:tc>
          <w:tcPr>
            <w:tcW w:type="dxa" w:w="18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Characteristic</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System Behavior</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Resists</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Evidence of Operation</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Executive Test</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Reconstructable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Decisions, evidence, authority, limitations, and changes can be traced after time has passed.</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Retrospective justification and institutional memory loss.</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records connect rationale to evidence and accountable owner.</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successor committee can explain why a governance position was taken.</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Proportionate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intensity changes with exposure, reliance, uncertainty, and consequence.</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Overcontrol, undercontrol, and review fatigue.</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High-consequence areas receive deeper validation while low-risk routines stay efficient.</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Leadership can explain why some domains receive stronger oversight.</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Adaptive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 events trigger reassessment of controls, evidence, authority, monitoring, and assurance.</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lag and inherited assumptions.</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Migration, AI adoption, vendor change, and redesign events update governance artifacts.</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changed workflow can be traced through refreshed governance records.</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Bounded</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Assurance remains tied to scope, evidence, freshness, and limitation.</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overextension and representation drift.</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External-facing statements include traceable support and qualification where needed.</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institution can withdraw or qualify trust signals without confusion.</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Self-correcting</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 and challenge identify weak signals, blind spots, and recurring degradation.</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False confidence and governance theater.</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Missed signals lead to redesigned observability, not only local correction.</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Findings improve the governance system rather than merely closing the item.</w:t>
            </w:r>
          </w:p>
        </w:tc>
      </w:tr>
    </w:tbl>
    <w:p>
      <w:pPr>
        <w:spacing w:after="20"/>
      </w:pPr>
    </w:p>
    <w:p>
      <w:pPr>
        <w:pStyle w:val="Heading2"/>
        <w:keepNext/>
      </w:pPr>
      <w:r>
        <w:t>Operational Alignment, Legitimacy, and Evidence</w:t>
      </w:r>
    </w:p>
    <w:p>
      <w:pPr>
        <w:keepLines w:val="0"/>
        <w:spacing w:after="0" w:lineRule="auto" w:line="259" w:before="0"/>
        <w:jc w:val="left"/>
      </w:pPr>
      <w:r>
        <w:rPr>
          <w:rFonts w:ascii="Aptos" w:hAnsi="Aptos" w:eastAsia="Aptos"/>
          <w:b w:val="0"/>
          <w:color w:val="2F3A4A"/>
          <w:sz w:val="18"/>
        </w:rPr>
        <w:t>Operational alignment is the relationship between documented governance and practiced governance. A governance framework can be complete in form while disconnected from the way work is performed, evidence is generated, issues are escalated, or decisions are approved. Executive oversight must therefore treat documentation as a governance representation that requires current evidence, not as proof that the represented condition still exists.</w:t>
      </w:r>
    </w:p>
    <w:p>
      <w:pPr>
        <w:keepLines w:val="0"/>
        <w:spacing w:after="0" w:lineRule="auto" w:line="259" w:before="0"/>
        <w:jc w:val="left"/>
      </w:pPr>
      <w:r>
        <w:rPr>
          <w:rFonts w:ascii="Aptos" w:hAnsi="Aptos" w:eastAsia="Aptos"/>
          <w:b w:val="0"/>
          <w:color w:val="2F3A4A"/>
          <w:sz w:val="18"/>
        </w:rPr>
        <w:t>Evidence-linked accountability is the mechanism by which governance becomes reconstructable. Evidence establishes what was observed, which population was reviewed, what limitation existed, and what decision was supported. Accountability establishes who had authority to act, defer, escalate, or accept exposure. Where evidence exists without authority, governance may be active but not accountable. Where authority exists without evidence, decisions may be formal but not defensible.</w:t>
      </w:r>
    </w:p>
    <w:p>
      <w:pPr>
        <w:keepNext/>
        <w:spacing w:before="0" w:after="0" w:lineRule="auto" w:line="259"/>
        <w:jc w:val="left"/>
      </w:pPr>
      <w:r>
        <w:rPr>
          <w:rFonts w:ascii="Aptos" w:hAnsi="Aptos" w:eastAsia="Aptos"/>
          <w:b/>
          <w:color w:val="17365D"/>
          <w:sz w:val="18"/>
        </w:rPr>
        <w:t>Operational Alignment Distinctions</w:t>
      </w:r>
    </w:p>
    <w:tbl>
      <w:tblPr>
        <w:tblStyle w:val="TableGrid"/>
        <w:tblW w:type="dxa" w:w="11160"/>
        <w:tblLayout w:type="fixed"/>
        <w:tblLook w:firstColumn="1" w:firstRow="1" w:lastColumn="0" w:lastRow="0" w:noHBand="0" w:noVBand="1" w:val="04A0"/>
      </w:tblPr>
      <w:tblGrid>
        <w:gridCol w:w="1900"/>
        <w:gridCol w:w="2500"/>
        <w:gridCol w:w="2350"/>
        <w:gridCol w:w="2250"/>
        <w:gridCol w:w="21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Condition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Means</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Does Not Prove</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Concern</w:t>
            </w:r>
          </w:p>
        </w:tc>
        <w:tc>
          <w:tcPr>
            <w:tcW w:type="dxa" w:w="21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Executive Response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participation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 is using or maintaining the governance framework within defined scope.</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every control is mature or every workflow is aligned.</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may be mistaken for assurance.</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Ask what has been implemented, reviewed, evidenced, and limited.</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maturity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behaviors are sustained through evidence, escalation, monitoring, and accountability.</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maturity is uniform across all functions.</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One mature domain can obscure weaker adjacent dependencies.</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maturity asymmetry and critical dependency paths.</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visibility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Artifacts, dashboards, forums, or public statements make governance posture observable.</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visible activity is effective or current.</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Visibility can outlive evidence support.</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visibility to freshness, decision impact, and limitation language.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governance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affects real workflows, approvals, exceptions, and evidence handling.</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operations avoid all exceptions or failures.</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Successful outcomes may depend on informal workarounds.</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Test process reality through sampling and exception reconstruction.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legitimacy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institution can justify governance positions through authority, evidence, rationale, and scope.</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every risk has been eliminated.</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Legitimacy weakens when rationale or limitations are missing.</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reconstructable decisions and bounded assurance.</w:t>
            </w:r>
          </w:p>
        </w:tc>
      </w:tr>
    </w:tbl>
    <w:p>
      <w:pPr>
        <w:spacing w:after="20"/>
      </w:pPr>
    </w:p>
    <w:p>
      <w:pPr>
        <w:keepNext/>
        <w:spacing w:before="0" w:after="0" w:lineRule="auto" w:line="259"/>
        <w:jc w:val="left"/>
      </w:pPr>
      <w:r>
        <w:rPr>
          <w:rFonts w:ascii="Aptos" w:hAnsi="Aptos" w:eastAsia="Aptos"/>
          <w:b/>
          <w:color w:val="17365D"/>
          <w:sz w:val="18"/>
        </w:rPr>
        <w:t>Governance Legitimacy Indicators</w:t>
      </w:r>
    </w:p>
    <w:tbl>
      <w:tblPr>
        <w:tblStyle w:val="TableGrid"/>
        <w:tblW w:type="dxa" w:w="11160"/>
        <w:tblLayout w:type="fixed"/>
        <w:tblLook w:firstColumn="1" w:firstRow="1" w:lastColumn="0" w:lastRow="0" w:noHBand="0" w:noVBand="1" w:val="04A0"/>
      </w:tblPr>
      <w:tblGrid>
        <w:gridCol w:w="1850"/>
        <w:gridCol w:w="2500"/>
        <w:gridCol w:w="2300"/>
        <w:gridCol w:w="2450"/>
        <w:gridCol w:w="2060"/>
      </w:tblGrid>
      <w:tr>
        <w:trPr>
          <w:tblHeader w:val="true"/>
          <w:cantSplit/>
        </w:trPr>
        <w:tc>
          <w:tcPr>
            <w:tcW w:type="dxa" w:w="18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Indicator</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Legitimate Condition</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Fragile Condition</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Evidence Needed</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Oversight Implication</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alignment</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authority sits with roles able to accept, fund, remediate, or escalate exposure.</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Visibility sits with one forum while authority sits elsewhere.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Decision-rights map and escalation record.</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Unresolved issues should not circulate indefinitely through informational review.</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alignment</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supports the actual population, timeframe, and conclusion represented.</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packages remain complete but no longer cover migrated workflows.</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Source lineage, population coverage, review method, and exclusions.</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Assurance should be qualified when evidence coverage is uncertain.</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Rationale preservation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Decisions show why action was taken, deferred, or escalated.</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Minutes show attendance and topics but not decision reasoning.</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log, assumptions, limitation, owner, and residual exposure.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Future leadership can reconstruct governance judgment without original participants.</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Exception integrity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Exceptions remain visible, time-bound, owned, and reviewed for recurrence.</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Recurring exceptions become ordinary operating conditions.</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Exception register, age, owner, compensating action, and disposition.</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Normalized exceptions require governance redesign or executive acceptance.</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Assurance discipline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or executive confidence is bounded by evidence, scope, and freshness.</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Broad posture language is reused from old materials.</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register and current evidence basis.</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statements should be refreshed before reliance expands.</w:t>
            </w:r>
          </w:p>
        </w:tc>
      </w:tr>
    </w:tbl>
    <w:p>
      <w:pPr>
        <w:spacing w:after="20"/>
      </w:pPr>
    </w:p>
    <w:p>
      <w:pPr>
        <w:pStyle w:val="Heading2"/>
        <w:keepNext/>
      </w:pPr>
      <w:r>
        <w:t>Executive Oversight, Proportionality, and Sustainability</w:t>
      </w:r>
    </w:p>
    <w:p>
      <w:pPr>
        <w:keepLines w:val="0"/>
        <w:spacing w:after="0" w:lineRule="auto" w:line="259" w:before="0"/>
        <w:jc w:val="left"/>
      </w:pPr>
      <w:r>
        <w:rPr>
          <w:rFonts w:ascii="Aptos" w:hAnsi="Aptos" w:eastAsia="Aptos"/>
          <w:b w:val="0"/>
          <w:color w:val="2F3A4A"/>
          <w:sz w:val="18"/>
        </w:rPr>
        <w:t>Executive governance oversight is not the same as executive awareness. Awareness may inform leadership that a governance activity exists. Oversight requires the ability to understand consequence, test whether authority is aligned with exposure, require remediation or redesign where necessary, and preserve institutional trust when assurance boundaries change. Executive involvement should be triggered by consequence, reliance, authority gap, unresolved dependency, or reputational sensitivity rather than by routine activity volume.</w:t>
      </w:r>
    </w:p>
    <w:p>
      <w:pPr>
        <w:keepLines w:val="0"/>
        <w:spacing w:after="0" w:lineRule="auto" w:line="259" w:before="0"/>
        <w:jc w:val="left"/>
      </w:pPr>
      <w:r>
        <w:rPr>
          <w:rFonts w:ascii="Aptos" w:hAnsi="Aptos" w:eastAsia="Aptos"/>
          <w:b w:val="0"/>
          <w:color w:val="2F3A4A"/>
          <w:sz w:val="18"/>
        </w:rPr>
        <w:t>Governance proportionality is essential to sustainability. Excessive governance can create bypass, fatigue, hidden workarounds, and dependence on specialized institutional memory. Insufficient governance permits unmanaged discretion, weak evidence, implicit assurance, and unreconstructable decisions. Sustainable oversight calibrates rigor to consequence while keeping governance understandable to future operators.</w:t>
      </w:r>
    </w:p>
    <w:p>
      <w:pPr>
        <w:keepNext/>
        <w:spacing w:before="0" w:after="0" w:lineRule="auto" w:line="259"/>
        <w:jc w:val="left"/>
      </w:pPr>
      <w:r>
        <w:rPr>
          <w:rFonts w:ascii="Aptos" w:hAnsi="Aptos" w:eastAsia="Aptos"/>
          <w:b/>
          <w:color w:val="17365D"/>
          <w:sz w:val="18"/>
        </w:rPr>
        <w:t>Executive Governance Oversight Expectations</w:t>
      </w:r>
    </w:p>
    <w:tbl>
      <w:tblPr>
        <w:tblStyle w:val="TableGrid"/>
        <w:tblW w:type="dxa" w:w="11160"/>
        <w:tblLayout w:type="fixed"/>
        <w:tblLook w:firstColumn="1" w:firstRow="1" w:lastColumn="0" w:lastRow="0" w:noHBand="0" w:noVBand="1" w:val="04A0"/>
      </w:tblPr>
      <w:tblGrid>
        <w:gridCol w:w="1900"/>
        <w:gridCol w:w="2400"/>
        <w:gridCol w:w="2400"/>
        <w:gridCol w:w="2350"/>
        <w:gridCol w:w="21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Oversight Area</w:t>
            </w:r>
          </w:p>
        </w:tc>
        <w:tc>
          <w:tcPr>
            <w:tcW w:type="dxa" w:w="24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Executive Role</w:t>
            </w:r>
          </w:p>
        </w:tc>
        <w:tc>
          <w:tcPr>
            <w:tcW w:type="dxa" w:w="24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Signal</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Mode</w:t>
            </w:r>
          </w:p>
        </w:tc>
        <w:tc>
          <w:tcPr>
            <w:tcW w:type="dxa" w:w="21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Required Executive Inquiry</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Material exposure</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Determine whether authority, funding, or institutional acceptance is required.</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Issue exceeds operational decision capacity.</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teams contain exposure informally before escalation.</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What decision remains open and who can accept residual exposure?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reliance</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Ensure assurance language remains bounded and evidence-supported.</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 investor, partner, or public reliance expands.</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Positive statements are reused after scope or evidence changes.</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What evidence supports the relied-upon statement today?</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drift</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reassessment when stable reporting may not reflect current operations.</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Process, vendor, AI, or system change occurs without governance refresh.</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Dashboards remain green while the governed population changes.</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Which controls and evidence maps were retested after change?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Accountability ambiguity</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Clarify ownership when shared responsibility stalls decisions.</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Multiple functions participate but no role owns residual exposure.</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Consensus masks lack of accountable authority.</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Who is empowered to decide, defer, escalate, or fund remediation?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Sustainability pressure</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Reduce fragility where governance depends on excessive complexity or key individuals.</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volume, manual coordination, or exception backlog rises.</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heroics replace governed process.</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Which dependencies would fail if key personnel or tools changed?</w:t>
            </w:r>
          </w:p>
        </w:tc>
      </w:tr>
    </w:tbl>
    <w:p>
      <w:pPr>
        <w:spacing w:after="20"/>
      </w:pPr>
    </w:p>
    <w:p>
      <w:pPr>
        <w:keepNext/>
        <w:spacing w:before="0" w:after="0" w:lineRule="auto" w:line="259"/>
        <w:jc w:val="left"/>
      </w:pPr>
      <w:r>
        <w:rPr>
          <w:rFonts w:ascii="Aptos" w:hAnsi="Aptos" w:eastAsia="Aptos"/>
          <w:b/>
          <w:color w:val="17365D"/>
          <w:sz w:val="18"/>
        </w:rPr>
        <w:t>Governance Proportionality Concepts</w:t>
      </w:r>
    </w:p>
    <w:tbl>
      <w:tblPr>
        <w:tblStyle w:val="TableGrid"/>
        <w:tblW w:type="dxa" w:w="11160"/>
        <w:tblLayout w:type="fixed"/>
        <w:tblLook w:firstColumn="1" w:firstRow="1" w:lastColumn="0" w:lastRow="0" w:noHBand="0" w:noVBand="1" w:val="04A0"/>
      </w:tblPr>
      <w:tblGrid>
        <w:gridCol w:w="1900"/>
        <w:gridCol w:w="2500"/>
        <w:gridCol w:w="2200"/>
        <w:gridCol w:w="2200"/>
        <w:gridCol w:w="23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Condition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Appropriate Governance Posture</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Overreach Risk</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Absence Risk</w:t>
            </w:r>
          </w:p>
        </w:tc>
        <w:tc>
          <w:tcPr>
            <w:tcW w:type="dxa" w:w="23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Calibration Method</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Low-consequence routine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Efficient control with periodic evidence sampling and clear owner.</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Excessive review creates fatigue and bypass.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Unclear ownership permits avoidable inconsistency.</w:t>
            </w:r>
          </w:p>
        </w:tc>
        <w:tc>
          <w:tcPr>
            <w:tcW w:type="dxa" w:w="23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lightweight evidence and exception-based escalation.</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High-reliance representation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Strong evidence linkage, owner review, and limitation control.</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Too many approvals obscure accountable authority.</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Assurance language exceeds support.</w:t>
            </w:r>
          </w:p>
        </w:tc>
        <w:tc>
          <w:tcPr>
            <w:tcW w:type="dxa" w:w="23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approval to evidence freshness and reliance audience.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Material workflow change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Event-driven reassessment of controls, authority, evidence, and monitoring.</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Full redesign before impact is understood can slow necessary adaptation.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Legacy controls continue after process migration.</w:t>
            </w:r>
          </w:p>
        </w:tc>
        <w:tc>
          <w:tcPr>
            <w:tcW w:type="dxa" w:w="23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interim status, targeted review, and time-bound recalibration.</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Unresolved dependency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Escalation to authority able to resolve ownership, funding, or redesign.</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Centralized escalation absorbs issues that local owners can resolve.</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Dependency remains invisible until failure.</w:t>
            </w:r>
          </w:p>
        </w:tc>
        <w:tc>
          <w:tcPr>
            <w:tcW w:type="dxa" w:w="23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Map dependency consequence and route by decision authority.</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AI-assisted influence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of how AI affects routing, prioritization, summarization, and confidence.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Broad approval process treats all AI use as equally material.</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Silent automation changes governance thresholds.</w:t>
            </w:r>
          </w:p>
        </w:tc>
        <w:tc>
          <w:tcPr>
            <w:tcW w:type="dxa" w:w="23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Classify AI influence by decision impact and evidence transformation.</w:t>
            </w:r>
          </w:p>
        </w:tc>
      </w:tr>
    </w:tbl>
    <w:p>
      <w:pPr>
        <w:spacing w:after="20"/>
      </w:pPr>
    </w:p>
    <w:p>
      <w:pPr>
        <w:pStyle w:val="Heading2"/>
        <w:keepNext/>
      </w:pPr>
      <w:r>
        <w:t>Governance Coherence, Continuity, and Adaptation</w:t>
      </w:r>
    </w:p>
    <w:p>
      <w:pPr>
        <w:keepLines w:val="0"/>
        <w:spacing w:after="0" w:lineRule="auto" w:line="259" w:before="0"/>
        <w:jc w:val="left"/>
      </w:pPr>
      <w:r>
        <w:rPr>
          <w:rFonts w:ascii="Aptos" w:hAnsi="Aptos" w:eastAsia="Aptos"/>
          <w:b w:val="0"/>
          <w:color w:val="2F3A4A"/>
          <w:sz w:val="18"/>
        </w:rPr>
        <w:t>Governance coherence is the ability of the institution to explain how its controls, evidence, forums, escalation routes, assurance language, and public trust signals relate to one another. Coherence is lost when local functions adapt independently, legacy controls persist after workflows migrate, committees continue after practical authority shifts, or assurance language survives after its evidentiary basis changes. Executive stewardship preserves coherence by requiring adaptation to be governed rather than improvised.</w:t>
      </w:r>
    </w:p>
    <w:p>
      <w:pPr>
        <w:keepLines w:val="0"/>
        <w:spacing w:after="0" w:lineRule="auto" w:line="259" w:before="0"/>
        <w:jc w:val="left"/>
      </w:pPr>
      <w:r>
        <w:rPr>
          <w:rFonts w:ascii="Aptos" w:hAnsi="Aptos" w:eastAsia="Aptos"/>
          <w:b w:val="0"/>
          <w:color w:val="2F3A4A"/>
          <w:sz w:val="18"/>
        </w:rPr>
        <w:t>Governance maintenance is therefore an executive concern even when day-to-day document ownership sits elsewhere. Maintenance protects institutional continuity by preserving the ability to determine which governance position is current, why it changed, what evidence supports it, what authority approved it, what reliance it may support, and when it must be reassessed. Without this discipline, governance artifacts can become impressive but fragile.</w:t>
      </w:r>
    </w:p>
    <w:p>
      <w:pPr>
        <w:keepNext/>
        <w:spacing w:before="0" w:after="0" w:lineRule="auto" w:line="259"/>
        <w:jc w:val="left"/>
      </w:pPr>
      <w:r>
        <w:rPr>
          <w:rFonts w:ascii="Aptos" w:hAnsi="Aptos" w:eastAsia="Aptos"/>
          <w:b/>
          <w:color w:val="17365D"/>
          <w:sz w:val="18"/>
        </w:rPr>
        <w:t>Governance Coherence Indicators</w:t>
      </w:r>
    </w:p>
    <w:tbl>
      <w:tblPr>
        <w:tblStyle w:val="TableGrid"/>
        <w:tblW w:type="dxa" w:w="11160"/>
        <w:tblLayout w:type="fixed"/>
        <w:tblLook w:firstColumn="1" w:firstRow="1" w:lastColumn="0" w:lastRow="0" w:noHBand="0" w:noVBand="1" w:val="04A0"/>
      </w:tblPr>
      <w:tblGrid>
        <w:gridCol w:w="2000"/>
        <w:gridCol w:w="2550"/>
        <w:gridCol w:w="2350"/>
        <w:gridCol w:w="2100"/>
        <w:gridCol w:w="2160"/>
      </w:tblGrid>
      <w:tr>
        <w:trPr>
          <w:tblHeader w:val="true"/>
          <w:cantSplit/>
        </w:trPr>
        <w:tc>
          <w:tcPr>
            <w:tcW w:type="dxa" w:w="20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Indicator</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Coherent Condition</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Fragmented Condition</w:t>
            </w:r>
          </w:p>
        </w:tc>
        <w:tc>
          <w:tcPr>
            <w:tcW w:type="dxa" w:w="21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Consequence</w:t>
            </w:r>
          </w:p>
        </w:tc>
        <w:tc>
          <w:tcPr>
            <w:tcW w:type="dxa" w:w="21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Stewardship Action</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Control-to-process alignment</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Controls, evidence, and monitoring refer to the same operating population.</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Controls govern a historical workflow while teams operate through new tools.</w:t>
            </w:r>
          </w:p>
        </w:tc>
        <w:tc>
          <w:tcPr>
            <w:tcW w:type="dxa" w:w="21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Assurance becomes difficult to defend.</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Reconcile process maps, evidence sources, and control owners after material change.</w:t>
            </w:r>
          </w:p>
        </w:tc>
      </w:tr>
      <w:tr>
        <w:trPr>
          <w:cantSplit/>
        </w:trPr>
        <w:tc>
          <w:tcPr>
            <w:tcW w:type="dxa" w:w="20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Authority-to-exposure alignment</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rights sit with roles capable of accepting, funding, remediating, or escalating exposure.</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Issues are visible to one forum while authority sits elsewhere.</w:t>
            </w:r>
          </w:p>
        </w:tc>
        <w:tc>
          <w:tcPr>
            <w:tcW w:type="dxa" w:w="21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Matters circulate without resolution.</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Map decision rights by exposure type and escalation threshold.</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Evidence-to-assurance alignment</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statements are proportionate to evidence quality, scope, and freshness.</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Broad assurance relies on narrow or stale evidence.</w:t>
            </w:r>
          </w:p>
        </w:tc>
        <w:tc>
          <w:tcPr>
            <w:tcW w:type="dxa" w:w="21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reliance exceeds support.</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evidence-linked representation review before reuse or publication.</w:t>
            </w:r>
          </w:p>
        </w:tc>
      </w:tr>
      <w:tr>
        <w:trPr>
          <w:cantSplit/>
        </w:trPr>
        <w:tc>
          <w:tcPr>
            <w:tcW w:type="dxa" w:w="20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Monitoring-to-reality alignment</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 tests current processes, dependencies, AI influence, and exception pathways.</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 observes stable legacy metrics while behavior changes.</w:t>
            </w:r>
          </w:p>
        </w:tc>
        <w:tc>
          <w:tcPr>
            <w:tcW w:type="dxa" w:w="21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Blind spots accumulate under positive reporting.</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monitoring coverage and validate through operational sampling.</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Adaptation-to-architecture alignment</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Local changes are incorporated into the enterprise governance model without losing common principles.</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Each function develops its own governance logic.</w:t>
            </w:r>
          </w:p>
        </w:tc>
        <w:tc>
          <w:tcPr>
            <w:tcW w:type="dxa" w:w="21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 cannot explain governance consistently across similar risks.</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controlled adaptation reviews to preserve enterprise coherence.</w:t>
            </w:r>
          </w:p>
        </w:tc>
      </w:tr>
    </w:tbl>
    <w:p>
      <w:pPr>
        <w:spacing w:after="20"/>
      </w:pPr>
    </w:p>
    <w:p>
      <w:pPr>
        <w:keepNext/>
        <w:spacing w:before="0" w:after="0" w:lineRule="auto" w:line="259"/>
        <w:jc w:val="left"/>
      </w:pPr>
      <w:r>
        <w:rPr>
          <w:rFonts w:ascii="Aptos" w:hAnsi="Aptos" w:eastAsia="Aptos"/>
          <w:b/>
          <w:color w:val="17365D"/>
          <w:sz w:val="18"/>
        </w:rPr>
        <w:t>Governance Continuity Conditions</w:t>
      </w:r>
    </w:p>
    <w:tbl>
      <w:tblPr>
        <w:tblStyle w:val="TableGrid"/>
        <w:tblW w:type="dxa" w:w="11160"/>
        <w:tblLayout w:type="fixed"/>
        <w:tblLook w:firstColumn="1" w:firstRow="1" w:lastColumn="0" w:lastRow="0" w:noHBand="0" w:noVBand="1" w:val="04A0"/>
      </w:tblPr>
      <w:tblGrid>
        <w:gridCol w:w="1900"/>
        <w:gridCol w:w="2550"/>
        <w:gridCol w:w="2300"/>
        <w:gridCol w:w="2250"/>
        <w:gridCol w:w="21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Continuity Area</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Must Persist</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Common Break</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Risk</w:t>
            </w:r>
          </w:p>
        </w:tc>
        <w:tc>
          <w:tcPr>
            <w:tcW w:type="dxa" w:w="21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Maintenance Discipline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Ownership continuity</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Named roles, authority boundaries, delegation limits, and escalation obligations.</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New owners inherit tasks without decision context.</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Accountability becomes procedural rather than substantive.</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Transition reviews that transfer rationale, dependencies, and open issues.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continuity</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Source lineage, population coverage, review method, freshness triggers, and limitation notes.</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is migrated as files but not as meaning.</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Future reviewers cannot determine what evidence proves.</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inventories tied to process maps and change registers.</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Assumption continuity</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Critical assumptions, owner, basis, last tested date, and invalidation trigger.</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Assumptions become embedded in language and are no longer recognized.</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relies on premises no one can identify.</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Assumption registers reviewed after material change.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Forum continuity</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Forum purpose, decision rights, escalation route, and unresolved issue tracking.</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Committees continue after practical authority shifts elsewhere.</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Oversight becomes informational rather than decisional.</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Periodic forum review against actual decisions and unresolved exposure.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continuity</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Audience, scope, source evidence, approval, limitation, and reuse history.</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Prior responses become templates without fresh review.</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statements outlive evidence or authority.</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registers with review cadence and retirement controls.</w:t>
            </w:r>
          </w:p>
        </w:tc>
      </w:tr>
    </w:tbl>
    <w:p>
      <w:pPr>
        <w:spacing w:after="20"/>
      </w:pPr>
    </w:p>
    <w:p>
      <w:pPr>
        <w:keepNext/>
        <w:spacing w:before="0" w:after="0" w:lineRule="auto" w:line="259"/>
        <w:jc w:val="left"/>
      </w:pPr>
      <w:r>
        <w:rPr>
          <w:rFonts w:ascii="Aptos" w:hAnsi="Aptos" w:eastAsia="Aptos"/>
          <w:b/>
          <w:color w:val="17365D"/>
          <w:sz w:val="18"/>
        </w:rPr>
        <w:t>Institutional Trust Preservation Structures</w:t>
      </w:r>
    </w:p>
    <w:tbl>
      <w:tblPr>
        <w:tblStyle w:val="TableGrid"/>
        <w:tblW w:type="dxa" w:w="11160"/>
        <w:tblLayout w:type="fixed"/>
        <w:tblLook w:firstColumn="1" w:firstRow="1" w:lastColumn="0" w:lastRow="0" w:noHBand="0" w:noVBand="1" w:val="04A0"/>
      </w:tblPr>
      <w:tblGrid>
        <w:gridCol w:w="2000"/>
        <w:gridCol w:w="2450"/>
        <w:gridCol w:w="2500"/>
        <w:gridCol w:w="2300"/>
        <w:gridCol w:w="1910"/>
      </w:tblGrid>
      <w:tr>
        <w:trPr>
          <w:tblHeader w:val="true"/>
          <w:cantSplit/>
        </w:trPr>
        <w:tc>
          <w:tcPr>
            <w:tcW w:type="dxa" w:w="20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Structure</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Trust Function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Dependency</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Degradation Pattern</w:t>
            </w:r>
          </w:p>
        </w:tc>
        <w:tc>
          <w:tcPr>
            <w:tcW w:type="dxa" w:w="19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Executive Signal</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Evidence-linked assurance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Keeps confidence proportional to what the institution can prove.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Current evidence, source lineage, review authority, and limitation visibility.</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Assurance language survives after evidence freshness or population coverage changes.</w:t>
            </w:r>
          </w:p>
        </w:tc>
        <w:tc>
          <w:tcPr>
            <w:tcW w:type="dxa" w:w="19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reliance requires evidence refresh or qualification.</w:t>
            </w:r>
          </w:p>
        </w:tc>
      </w:tr>
      <w:tr>
        <w:trPr>
          <w:cantSplit/>
        </w:trPr>
        <w:tc>
          <w:tcPr>
            <w:tcW w:type="dxa" w:w="20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Accountable escalation</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Ensures unresolved exposure reaches authority able to decide, fund, accept, or redesign.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Thresholds, routing discipline, and residual-exposure ownership.</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Escalations become informational updates without decision force.</w:t>
            </w:r>
          </w:p>
        </w:tc>
        <w:tc>
          <w:tcPr>
            <w:tcW w:type="dxa" w:w="19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Repeated unresolved items require authority review.</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Governed adaptation</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Allows the institution to evolve without losing coherence.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 triggers, control migration, evidence transition, and authority reassessment.</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Temporary exceptions become permanent governance without redesign.</w:t>
            </w:r>
          </w:p>
        </w:tc>
        <w:tc>
          <w:tcPr>
            <w:tcW w:type="dxa" w:w="19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Material change should trigger governance recalibration.</w:t>
            </w:r>
          </w:p>
        </w:tc>
      </w:tr>
      <w:tr>
        <w:trPr>
          <w:cantSplit/>
        </w:trPr>
        <w:tc>
          <w:tcPr>
            <w:tcW w:type="dxa" w:w="20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 humility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Maintains awareness of what governance can and cannot observe.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Blind-spot testing, challenge records, and source-population reconciliation.</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Dashboards create certainty beyond detection capability.</w:t>
            </w:r>
          </w:p>
        </w:tc>
        <w:tc>
          <w:tcPr>
            <w:tcW w:type="dxa" w:w="19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Positive reporting after change should be challenged.</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Institutional memory continuity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decision rationale, assumptions, dependencies, and representation boundaries.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logs, assumption registers, ownership maps, and evidence reconstruction.</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depends on long-tenured personnel rather than durable records.</w:t>
            </w:r>
          </w:p>
        </w:tc>
        <w:tc>
          <w:tcPr>
            <w:tcW w:type="dxa" w:w="19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Turnover should not make governance rationale unrecoverable.</w:t>
            </w:r>
          </w:p>
        </w:tc>
      </w:tr>
    </w:tbl>
    <w:p>
      <w:pPr>
        <w:spacing w:after="20"/>
      </w:pPr>
    </w:p>
    <w:p>
      <w:pPr>
        <w:pStyle w:val="Heading2"/>
        <w:keepNext/>
      </w:pPr>
      <w:r>
        <w:t>Executive Governance Stewardship Operating Standard</w:t>
      </w:r>
    </w:p>
    <w:p>
      <w:pPr>
        <w:keepLines w:val="0"/>
        <w:spacing w:after="0" w:lineRule="auto" w:line="259" w:before="0"/>
        <w:jc w:val="left"/>
      </w:pPr>
      <w:r>
        <w:rPr>
          <w:rFonts w:ascii="Aptos" w:hAnsi="Aptos" w:eastAsia="Aptos"/>
          <w:b w:val="0"/>
          <w:color w:val="2F3A4A"/>
          <w:sz w:val="18"/>
        </w:rPr>
        <w:t>Executive governance stewardship under this framework shall be directed toward preserving legitimate, evidence-supported, accountable, adaptive, and defensible institutional action over time. Leadership and oversight stakeholders shall interpret this binder as a governance operating reference that requires maintenance, current evidence, bounded assurance, and recalibration against operational reality.</w:t>
      </w:r>
    </w:p>
    <w:p>
      <w:pPr>
        <w:keepLines w:val="0"/>
        <w:spacing w:after="0" w:lineRule="auto" w:line="259" w:before="0"/>
        <w:jc w:val="left"/>
      </w:pPr>
      <w:r>
        <w:rPr>
          <w:rFonts w:ascii="Aptos" w:hAnsi="Aptos" w:eastAsia="Aptos"/>
          <w:b w:val="0"/>
          <w:color w:val="2F3A4A"/>
          <w:sz w:val="18"/>
        </w:rPr>
        <w:t>Governance participation shall not be treated as absolute assurance. Governance maturity shall be evaluated through sustained operating behavior, evidence discipline, escalation effectiveness, accountable authority, monitoring quality, adaptation control, and representation integrity. Visible governance activity shall be tested against whether it changes decisions, preserves accountability, identifies limitations, and remains aligned with practiced workflow.</w:t>
      </w:r>
    </w:p>
    <w:p>
      <w:pPr>
        <w:keepLines w:val="0"/>
        <w:spacing w:after="0" w:lineRule="auto" w:line="259" w:before="0"/>
        <w:jc w:val="left"/>
      </w:pPr>
      <w:r>
        <w:rPr>
          <w:rFonts w:ascii="Aptos" w:hAnsi="Aptos" w:eastAsia="Aptos"/>
          <w:b w:val="0"/>
          <w:color w:val="2F3A4A"/>
          <w:sz w:val="18"/>
        </w:rPr>
        <w:t>Executive oversight shall preserve proportionality. Governance intensity shall be calibrated to consequence, reliance, uncertainty, operational exposure, and institutional trust. Excessive complexity shall be treated as a survivability risk when it creates bypass, obscures accountability, saturates review capacity, or makes the system dependent on specialized institutional memory. Insufficient governance shall be treated as a survivability risk when it permits unmanaged discretion, weak evidence, implicit assurance, or unreconstructable decisions.</w:t>
      </w:r>
    </w:p>
    <w:p>
      <w:pPr>
        <w:keepLines w:val="0"/>
        <w:spacing w:after="0" w:lineRule="auto" w:line="259" w:before="0"/>
        <w:jc w:val="left"/>
      </w:pPr>
      <w:r>
        <w:rPr>
          <w:rFonts w:ascii="Aptos" w:hAnsi="Aptos" w:eastAsia="Aptos"/>
          <w:b w:val="0"/>
          <w:color w:val="2F3A4A"/>
          <w:sz w:val="18"/>
        </w:rPr>
        <w:t>The binder shall be maintained as a living governance framework rather than a static policy set. Material changes in workflow, system population, vendor dependency, staffing, delegated authority, AI-assisted process influence, customer reliance, evidence source, control design, public representation, or operating scale shall trigger reassessment of the affected governance architecture.</w:t>
      </w:r>
    </w:p>
    <w:p>
      <w:pPr>
        <w:keepLines w:val="0"/>
        <w:spacing w:after="0" w:lineRule="auto" w:line="259" w:before="0"/>
        <w:jc w:val="left"/>
      </w:pPr>
      <w:r>
        <w:rPr>
          <w:rFonts w:ascii="Aptos" w:hAnsi="Aptos" w:eastAsia="Aptos"/>
          <w:b w:val="0"/>
          <w:color w:val="2F3A4A"/>
          <w:sz w:val="18"/>
        </w:rPr>
        <w:t>The executive standard for this binder is stewardship-based survivability. A governance system is operating credibly when future operators, reviewers, executives, and relying parties can determine what was governed, what evidence supported it, who had authority, what limitations applied, what changed afterward, how assurance remained bounded, and how the institution recalibrated when operational reality evolved. This orientation provides the basis for entering the operational sections of the binder as governance doctrine rather than passive documentation.</w:t>
      </w:r>
    </w:p>
    <w:sectPr w:rsidR="00FC693F" w:rsidRPr="0006063C" w:rsidSect="00034616">
      <w:footerReference w:type="default" r:id="rId9"/>
      <w:pgSz w:w="12240" w:h="15840"/>
      <w:pgMar w:top="1037" w:right="835" w:bottom="893"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Rule="auto" w:line="259"/>
      <w:jc w:val="left"/>
    </w:pPr>
    <w:r>
      <w:rPr>
        <w:rFonts w:ascii="Aptos" w:hAnsi="Aptos" w:eastAsia="Aptos"/>
        <w:b w:val="0"/>
        <w:color w:val="66758A"/>
        <w:sz w:val="16"/>
      </w:rPr>
      <w:t>Paladin Compliance Governance Binder | Front Matter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4"/>
    </w:pPr>
    <w:rPr>
      <w:rFonts w:ascii="Aptos" w:hAnsi="Aptos" w:eastAsia="Aptos"/>
      <w:color w:val="2F3A4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Display" w:hAnsi="Aptos Display" w:eastAsia="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ptos" w:hAnsi="Aptos" w:eastAsia="Aptos"/>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37"/>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