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80"/>
      </w:pPr>
      <w:r>
        <w:rPr>
          <w:rFonts w:ascii="Aptos Display" w:hAnsi="Aptos Display"/>
          <w:b/>
          <w:color w:val="17365D"/>
          <w:sz w:val="44"/>
        </w:rPr>
        <w:t>1.7 Governance Failure Modes</w:t>
      </w:r>
    </w:p>
    <w:p>
      <w:pPr>
        <w:keepLines w:val="0"/>
        <w:spacing w:after="140" w:line="271" w:lineRule="auto"/>
      </w:pPr>
      <w:r>
        <w:rPr>
          <w:rFonts w:ascii="Aptos" w:hAnsi="Aptos"/>
          <w:color w:val="2F3A4A"/>
          <w:sz w:val="20"/>
        </w:rPr>
        <w:t>Governance failure modes describe the ways an institutional decision system degrades while formal governance activity may continue. Under this framework, failure is not limited to an absent policy, missed meeting, or isolated control lapse. It includes the operational conditions in which authority becomes unclear, evidence loses interpretive value, escalation no longer changes outcomes, and accountability moves outside the record.</w:t>
      </w:r>
    </w:p>
    <w:p>
      <w:pPr>
        <w:keepLines w:val="0"/>
        <w:spacing w:after="140" w:line="271" w:lineRule="auto"/>
      </w:pPr>
      <w:r>
        <w:rPr>
          <w:rFonts w:ascii="Aptos" w:hAnsi="Aptos"/>
          <w:color w:val="2F3A4A"/>
          <w:sz w:val="20"/>
        </w:rPr>
        <w:t>Many governance failures begin as practical substitutions. A status report replaces a review. Awareness is mistaken for approval. An exception extension becomes routine. A single coordinator quietly absorbs unresolved dependencies. An AI-generated summary influences priority or customer language without being treated as part of the decision path. Each substitution can appear reasonable in isolation; the institutional exposure emerges when these substitutions become the normal operating model.</w:t>
      </w:r>
    </w:p>
    <w:p>
      <w:pPr>
        <w:keepLines w:val="0"/>
        <w:spacing w:after="140" w:line="271" w:lineRule="auto"/>
      </w:pPr>
      <w:r>
        <w:rPr>
          <w:rFonts w:ascii="Aptos" w:hAnsi="Aptos"/>
          <w:color w:val="2F3A4A"/>
          <w:sz w:val="20"/>
        </w:rPr>
        <w:t>Organizations implementing this framework evaluate failure modes by examining how governance behaves when the organization is under pressure: rapid growth, customer deadlines, vendor delay, incident response, audit challenge, leadership turnover, or technology change. The central question is whether governance still produces accountable decisions supported by reliable evidence, or whether the institution is merely producing activity that resembles oversight.</w:t>
      </w:r>
    </w:p>
    <w:p>
      <w:pPr>
        <w:pStyle w:val="Heading2"/>
        <w:keepNext/>
        <w:spacing w:before="200" w:after="100"/>
      </w:pPr>
      <w:r>
        <w:rPr>
          <w:rFonts w:ascii="Aptos Display" w:hAnsi="Aptos Display"/>
          <w:b/>
          <w:color w:val="17365D"/>
          <w:sz w:val="30"/>
        </w:rPr>
        <w:t>Failure Mode Reference Principles</w:t>
      </w:r>
    </w:p>
    <w:p>
      <w:pPr>
        <w:spacing w:after="84" w:line="259" w:lineRule="auto"/>
        <w:ind w:left="259" w:hanging="259"/>
      </w:pPr>
      <w:r>
        <w:rPr>
          <w:rFonts w:ascii="Aptos" w:hAnsi="Aptos"/>
          <w:b/>
          <w:color w:val="17365D"/>
          <w:sz w:val="19"/>
        </w:rPr>
        <w:t xml:space="preserve">Failure is often quiet. </w:t>
      </w:r>
      <w:r>
        <w:rPr>
          <w:rFonts w:ascii="Aptos" w:hAnsi="Aptos"/>
          <w:color w:val="2F3A4A"/>
          <w:sz w:val="19"/>
        </w:rPr>
        <w:t>A governance system can continue producing calendars, dashboards, minutes, and attestations while unresolved exposure migrates into informal channels.</w:t>
      </w:r>
    </w:p>
    <w:p>
      <w:pPr>
        <w:spacing w:after="84" w:line="259" w:lineRule="auto"/>
        <w:ind w:left="259" w:hanging="259"/>
      </w:pPr>
      <w:r>
        <w:rPr>
          <w:rFonts w:ascii="Aptos" w:hAnsi="Aptos"/>
          <w:b/>
          <w:color w:val="17365D"/>
          <w:sz w:val="19"/>
        </w:rPr>
        <w:t xml:space="preserve">Activity is not control. </w:t>
      </w:r>
      <w:r>
        <w:rPr>
          <w:rFonts w:ascii="Aptos" w:hAnsi="Aptos"/>
          <w:color w:val="2F3A4A"/>
          <w:sz w:val="19"/>
        </w:rPr>
        <w:t>Meeting frequency, reporting volume, and artifact count do not establish whether a decision was made by the correct authority using reliable evidence.</w:t>
      </w:r>
    </w:p>
    <w:p>
      <w:pPr>
        <w:spacing w:after="84" w:line="259" w:lineRule="auto"/>
        <w:ind w:left="259" w:hanging="259"/>
      </w:pPr>
      <w:r>
        <w:rPr>
          <w:rFonts w:ascii="Aptos" w:hAnsi="Aptos"/>
          <w:b/>
          <w:color w:val="17365D"/>
          <w:sz w:val="19"/>
        </w:rPr>
        <w:t xml:space="preserve">Erosion concentrates at boundaries. </w:t>
      </w:r>
      <w:r>
        <w:rPr>
          <w:rFonts w:ascii="Aptos" w:hAnsi="Aptos"/>
          <w:color w:val="2F3A4A"/>
          <w:sz w:val="19"/>
        </w:rPr>
        <w:t>Failures commonly appear where legal interpretation, operational execution, vendor performance, customer commitments, and technical control ownership depend on one another.</w:t>
      </w:r>
    </w:p>
    <w:p>
      <w:pPr>
        <w:spacing w:after="84" w:line="259" w:lineRule="auto"/>
        <w:ind w:left="259" w:hanging="259"/>
      </w:pPr>
      <w:r>
        <w:rPr>
          <w:rFonts w:ascii="Aptos" w:hAnsi="Aptos"/>
          <w:b/>
          <w:color w:val="17365D"/>
          <w:sz w:val="19"/>
        </w:rPr>
        <w:t xml:space="preserve">Pressure reveals the actual model. </w:t>
      </w:r>
      <w:r>
        <w:rPr>
          <w:rFonts w:ascii="Aptos" w:hAnsi="Aptos"/>
          <w:color w:val="2F3A4A"/>
          <w:sz w:val="19"/>
        </w:rPr>
        <w:t>When timing is compressed, the organization tends to route work through the path that gets an answer fastest, whether or not that path preserves governance integrity.</w:t>
      </w:r>
    </w:p>
    <w:p>
      <w:pPr>
        <w:pStyle w:val="Heading2"/>
        <w:keepNext/>
        <w:spacing w:before="280" w:after="100"/>
      </w:pPr>
      <w:r>
        <w:rPr>
          <w:rFonts w:ascii="Aptos Display" w:hAnsi="Aptos Display"/>
          <w:b/>
          <w:color w:val="17365D"/>
          <w:sz w:val="30"/>
        </w:rPr>
        <w:t>Governance Erosion Taxonomy</w:t>
      </w:r>
    </w:p>
    <w:p>
      <w:pPr>
        <w:keepLines w:val="0"/>
        <w:spacing w:after="120" w:line="271" w:lineRule="auto"/>
      </w:pPr>
      <w:r>
        <w:rPr>
          <w:rFonts w:ascii="Aptos" w:hAnsi="Aptos"/>
          <w:color w:val="2F3A4A"/>
          <w:sz w:val="20"/>
        </w:rPr>
        <w:t>The following taxonomy identifies recurring patterns through which governance degrades from accountable institutional decision-making into informal coordination, defensive documentation, or false assurance.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Failure Domain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Pattern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It Persists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Exposure Created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Early Signal</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theater</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Formal forums meet, materials are produced, and issues are discussed, but decisions requiring authority are deferred or diluted.</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cadence feels disciplined and participants can point to a visible oversight process.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Executives may believe exposure is being governed when no party has accepted, funded, or remediated it.</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Recurring agenda items appear without closure criteria, decision owner, or residual risk disposition.</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archaeology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Teams reconstruct support after the fact from email, system exports, screenshots, and meeting memory.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Past reviews survived because knowledgeable staff could explain missing context informally.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Audit, customer assurance, or incident review may fail because evidence cannot prove the assertion made.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Reviewers ask who created an artifact, what population it covered, or why an exception was acceptable.</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fatigue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teams stop escalating known issues because prior escalations did not produce timely decisions.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Avoiding escalation appears efficient when teams can contain the issue temporarily.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Material exposure remains local until a customer deadline, incident, or audit request forces late executive entry.</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Repeated extensions are managed in status meetings rather than routed to decision authority.</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Silent ownership transfer</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dependency owner becomes the de facto accountable party because the original owner no longer follows the outcome.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Work continues, so the accountability gap is not immediately visible.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No one can show who retained responsibility for risk acceptance, evidence sufficiency, or remediation priority.</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Tasks are completed by a support function while the named owner receives only periodic updates.</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Committee diffusion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Multiple forums receive fragments of the same issue, each assuming another body owns resolution.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Broad distribution reduces the discomfort of assigning a difficult decision to one authority.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accumulates awareness without closure and creates a record of discussion rather than control.</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Minutes reflect repeated acknowledgement across forums with no single remediation owner.</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AI-assisted distortion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Automated summaries, rankings, classifications, or draft responses influence judgment without being recorded as decision inputs.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tool is framed as administrative support even when users rely on it to prioritize or interpret risk.</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Accountability becomes difficult to demonstrate when a human decision was shaped by unlogged machine output.</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Teams cannot explain why certain exceptions, complaints, or incidents were prioritized over others.</w:t>
            </w:r>
          </w:p>
        </w:tc>
      </w:tr>
    </w:tbl>
    <w:p>
      <w:pPr>
        <w:spacing w:after="100"/>
      </w:pPr>
    </w:p>
    <w:p>
      <w:pPr>
        <w:pStyle w:val="Heading2"/>
        <w:keepNext/>
        <w:spacing w:before="120" w:after="100"/>
      </w:pPr>
      <w:r>
        <w:rPr>
          <w:rFonts w:ascii="Aptos Display" w:hAnsi="Aptos Display"/>
          <w:b/>
          <w:color w:val="17365D"/>
          <w:sz w:val="30"/>
        </w:rPr>
        <w:t>Silent Governance Decay and Control Normalization</w:t>
      </w:r>
    </w:p>
    <w:p>
      <w:pPr>
        <w:keepLines w:val="0"/>
        <w:spacing w:after="120" w:line="271" w:lineRule="auto"/>
      </w:pPr>
      <w:r>
        <w:rPr>
          <w:rFonts w:ascii="Aptos" w:hAnsi="Aptos"/>
          <w:color w:val="2F3A4A"/>
          <w:sz w:val="20"/>
        </w:rPr>
        <w:t>Silent decay occurs when the governed process changes faster than the governance model. Control normalization occurs when weak operating conditions become familiar enough to stop triggering concern. Together, these patterns allow unmanaged exposure to accumulate while the documented governance structure remains apparently intact.</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Decay Mechanism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How It Becomes Normal</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Missed Dependency</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Failure Example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Revealing Test</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Stale control population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control continues running on schedule after a system migration, but its source population no longer includes all relevant records.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Technology change is treated as implementation work rather than governance scope change.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Access review evidence covers the legacy platform while privileged access moved to a new administration console.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Ask whether the evidence source still maps to the process population creating the obligation.</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Exception normalization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Temporary extensions recur until teams treat overdue remediation as part of the operating rhythm.</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Aggregate exposure is not assessed because each exception is small enough to tolerate.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vendor attestation gap receives quarterly extensions while customer assurance responses continue to imply full coverage.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exception aging by root cause, not only by individual owner or due date.</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Workaround institutionalization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An emergency manual step remains in use after the original constraint disappears.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success masks the fact that the workaround lacks testing, ownership, or evidence requirements.</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spreadsheet used during an outage becomes the permanent source for regulatory reporting adjustments.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Determine whether temporary procedures have defined retirement criteria and control treatment.</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Approval without review</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senior approver signs based on summary language because the underlying evidence package is too fragmented to inspect quickly.</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approval appears legitimate and may satisfy workflow closure.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executive approves a customer commitment without seeing the unresolved control limitation buried in a separate tracker.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Require the decision record to identify what evidence was reviewed and what limitations were known.</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Dependency invisibility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team owns the deliverable but depends on another function that is not reflected in the governance record.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named owner is easier to track than the actual dependency chain.</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Compliance owns a deadline, but remediation depends on product redesign and security tooling capacity.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Map unresolved dependencies to authority, budget, and decision timing rather than status alone.</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Reporting volume false assurance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Dashboards expand until reviewers receive more signals than they can interpret or challenge.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More reporting is mistaken for stronger oversight.</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committee receives forty metrics while the one aging exception affecting a contractual attestation is not isolated for decision.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Separate informational reporting from matters requiring approval, funding, risk acceptance, or escalation.</w:t>
            </w:r>
          </w:p>
        </w:tc>
      </w:tr>
    </w:tbl>
    <w:p>
      <w:pPr>
        <w:spacing w:after="100"/>
      </w:pPr>
    </w:p>
    <w:p>
      <w:pPr>
        <w:pStyle w:val="Heading2"/>
        <w:keepNext/>
        <w:spacing w:before="240" w:after="100"/>
      </w:pPr>
      <w:r>
        <w:rPr>
          <w:rFonts w:ascii="Aptos Display" w:hAnsi="Aptos Display"/>
          <w:b/>
          <w:color w:val="17365D"/>
          <w:sz w:val="30"/>
        </w:rPr>
        <w:t>Escalation Breakdown Patterns</w:t>
      </w:r>
    </w:p>
    <w:p>
      <w:pPr>
        <w:keepLines w:val="0"/>
        <w:spacing w:after="120" w:line="271" w:lineRule="auto"/>
      </w:pPr>
      <w:r>
        <w:rPr>
          <w:rFonts w:ascii="Aptos" w:hAnsi="Aptos"/>
          <w:color w:val="2F3A4A"/>
          <w:sz w:val="20"/>
        </w:rPr>
        <w:t>Escalation fails when the issue reaches a forum that lacks the authority, timing, evidence, or ownership structure needed to change the outcome. Late escalation is a visible symptom; the deeper failure is often that operational teams no longer believe escalation will produce a decision before the exposure matures.</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Breakdown Point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Misrouted Decision</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Cost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Authority Needed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Failure Pattern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Local containment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control owner manages a material exception within the team because escalation previously produced delayed guidance.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issue remains operationally contained but institutionally unaccepted.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risk-accepting authority able to decide whether delay is tolerable.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fatigue converts exposure into a local operating problem.</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Advisory forum overload</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committee debates an issue requiring funding, but no participant owns budget or staffing decisions.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Time is spent refining the narrative while remediation capacity remains unavailable.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Executive sponsor or portfolio authority able to assign resources.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Committee diffusion creates discussion without execution power.</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deadline pressure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sales or account team seeks fast approval for response language before control evidence is ready.</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commitments can exceed the evidence base available to support them.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authority that can balance commercial risk, assurance limits, and contractual exposure.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Speed pressure bypasses evidence review and creates future audit exposure.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Incident ambiguity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Containment, legal notification, customer communication, and remediation ownership move in parallel with no single decision record.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Different functions make defensible choices that do not align into an institutional decision.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Incident governance owner with authority to coordinate factual record, external position, and remediation commitments.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Role ambiguity during stress fragments accountability.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AI-prioritized triage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Automated severity ranking routes work before humans reassess whether the model's categories align with governance thresholds.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Lower-ranked items may miss escalation despite contractual or reputational sensitivity.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Human owner responsible for override rules, sampling, and escalation threshold calibration.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AI-assisted prioritization distorts the order in which exposure receives attention.</w:t>
            </w:r>
          </w:p>
        </w:tc>
      </w:tr>
    </w:tbl>
    <w:p>
      <w:pPr>
        <w:spacing w:after="100"/>
      </w:pPr>
    </w:p>
    <w:p>
      <w:pPr>
        <w:pStyle w:val="Heading2"/>
        <w:keepNext/>
        <w:spacing w:before="120" w:after="100"/>
      </w:pPr>
      <w:r>
        <w:rPr>
          <w:rFonts w:ascii="Aptos Display" w:hAnsi="Aptos Display"/>
          <w:b/>
          <w:color w:val="17365D"/>
          <w:sz w:val="30"/>
        </w:rPr>
        <w:t>Evidence Integrity Collapse</w:t>
      </w:r>
    </w:p>
    <w:p>
      <w:pPr>
        <w:keepLines w:val="0"/>
        <w:spacing w:after="120" w:line="271" w:lineRule="auto"/>
      </w:pPr>
      <w:r>
        <w:rPr>
          <w:rFonts w:ascii="Aptos" w:hAnsi="Aptos"/>
          <w:color w:val="2F3A4A"/>
          <w:sz w:val="20"/>
        </w:rPr>
        <w:t>Evidence integrity collapses when retained artifacts no longer support the governance assertion attached to them. The document may exist, the screenshot may be dated, and the approval may be recorded; the failure lies in the missing relationship between evidence, process population, reviewer judgment, exception treatment, and decision authority.</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Evidence Condition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the Record Is Insufficient</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Common Source of Collapse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Audit-Survivability Risk</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Example</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Unlinked artifact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file shows activity occurred but not which obligation, control, period, or system population it supports.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Evidence is collected by task rather than by assertion.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reviewer can see work happened but cannot determine whether the claim was true.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spreadsheet export is retained without showing whether terminated users were excluded before review.</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Stale screenshot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image captures a point in time but not the operating period or changes that occurred afterward.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Teams preserve what is easy to capture when source-system reporting is weak.</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institution cannot prove continuous operation during the period under review.</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security configuration screenshot is used for a quarterly assertion after an undocumented policy change.</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Evidence divorced from approval</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approval exists separately from the materials reviewed, known limitations, and exceptions considered.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Workflow tools capture sign-off more cleanly than decision rationale.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Approval becomes difficult to defend because the basis of judgment is unavailable.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product exception is approved in a ticket while the unresolved customer obligation sits in a separate legal memo.</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Retained output, missing input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Final reports are stored but input sources, transformations, or AI-assisted summaries are not reproducible.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Teams prioritize deliverable preservation over lineage.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organization cannot explain how the final answer was derived.</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assurance response relies on AI-generated incident summaries without retaining source scope or human validation notes.</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Overcurated evidence pack</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Materials are polished for external consumption but omit adverse facts, uncertainty, or unresolved dependency.</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or audit deadlines reward clean narratives.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complete-looking package may create false assurance and weaken later credibility.</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binder includes control performance summaries but excludes aging exceptions known to the control owner.</w:t>
            </w:r>
          </w:p>
        </w:tc>
      </w:tr>
    </w:tbl>
    <w:p>
      <w:pPr>
        <w:spacing w:after="100"/>
      </w:pPr>
    </w:p>
    <w:p>
      <w:pPr>
        <w:pStyle w:val="Heading2"/>
        <w:keepNext/>
        <w:spacing w:before="240" w:after="100"/>
      </w:pPr>
      <w:r>
        <w:rPr>
          <w:rFonts w:ascii="Aptos Display" w:hAnsi="Aptos Display"/>
          <w:b/>
          <w:color w:val="17365D"/>
          <w:sz w:val="30"/>
        </w:rPr>
        <w:t>Accountability Fragmentation Model</w:t>
      </w:r>
    </w:p>
    <w:p>
      <w:pPr>
        <w:keepLines w:val="0"/>
        <w:spacing w:after="120" w:line="271" w:lineRule="auto"/>
      </w:pPr>
      <w:r>
        <w:rPr>
          <w:rFonts w:ascii="Aptos" w:hAnsi="Aptos"/>
          <w:color w:val="2F3A4A"/>
          <w:sz w:val="20"/>
        </w:rPr>
        <w:t>Accountability fragmentation occurs when work, review, approval, evidence handling, and risk acceptance are spread across parties without a durable decision record connecting them. Shared responsibility can be appropriate; unassigned ownership is not. The failure mode appears when every participant can describe their contribution, but no participant can explain the governed outcome.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Fragmentation Pattern</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Accountability Gap</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What Participants Believe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Concrete Exposure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Correction Logic</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Distributed task completion</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Multiple teams complete assigned steps, but no owner verifies whether the combined result satisfies the obligation.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Each function believes another party owns end-to-end sufficiency.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customer assurance package includes current artifacts, but no one confirms the response aligns with contractual commitments.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Name the accountable outcome owner separately from task performers.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Silent ownership transfer</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function doing the work becomes the practical owner while the original governance owner stops monitoring.</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Progress updates are mistaken for retained accountability.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Security remediates a control issue while compliance remains named on the obligation and misses attestation impact.</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Require owner confirmation when execution is delegated across functions.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Fragmented remediation ownership</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Root cause, funding, technical fix, customer communication, and evidence refresh sit in different queues.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Remediation is assumed active because every queue has a task.</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control gap remains open because the technical fix is complete but evidence and customer commitments were not updated.</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Assign one remediation owner with authority to coordinate closure conditions.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Approval chain ambiguity</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endorsement, approval, and risk acceptance are recorded as similar workflow events.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recorded approval is assumed to mean the risk was understood.</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senior reviewer approves timing while a later audit treats the approval as evidence of control sufficiency.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Define approval type and required evidence basis in the decision record.</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Vendor responsibility leakage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vendor owns performance, but the customer-facing obligation remains internal.</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Supplier delay is treated as an external dependency rather than an internal governance exposure.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vendor misses evidence delivery while the organization continues to make assurance statements to customers.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Connect vendor oversight to internal obligation owners and escalation rights.</w:t>
            </w:r>
          </w:p>
        </w:tc>
      </w:tr>
    </w:tbl>
    <w:p>
      <w:pPr>
        <w:spacing w:after="100"/>
      </w:pPr>
    </w:p>
    <w:p>
      <w:pPr>
        <w:pStyle w:val="Heading2"/>
        <w:keepNext/>
        <w:spacing w:before="120" w:after="100"/>
      </w:pPr>
      <w:r>
        <w:rPr>
          <w:rFonts w:ascii="Aptos Display" w:hAnsi="Aptos Display"/>
          <w:b/>
          <w:color w:val="17365D"/>
          <w:sz w:val="30"/>
        </w:rPr>
        <w:t>Governance Theater and False Assurance</w:t>
      </w:r>
    </w:p>
    <w:p>
      <w:pPr>
        <w:keepLines w:val="0"/>
        <w:spacing w:after="120" w:line="271" w:lineRule="auto"/>
      </w:pPr>
      <w:r>
        <w:rPr>
          <w:rFonts w:ascii="Aptos" w:hAnsi="Aptos"/>
          <w:color w:val="2F3A4A"/>
          <w:sz w:val="20"/>
        </w:rPr>
        <w:t>Governance theater is the production of governance-looking activity without the decision quality, authority, evidence, or accountability that governance requires. It is not always cynical. Often it emerges from pressure to show progress, respond to external scrutiny, or maintain cadence when the institution lacks authority alignment or evidence discipline.</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Visible Activity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Control Illusion</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Question That Tests Substance</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Failure Scenario</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High-volume dashboard reporting</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quantity of indicators suggests broad oversight.</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Which metric required a decision, changed funding, altered risk acceptance, or triggered remediation?</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committee reviews dozens of indicators while a single high-impact dependency ages outside the dashboard threshold.</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Standing committee cadence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Recurring meetings imply governance continuity.</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What decisions were made, by whom, and what changed operationally as a result?</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governance committee may continue meeting on schedule while unresolved exceptions migrate outside formal review because teams no longer expect timely decisions.</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Executive awareness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Senior leaders are briefed and therefore the issue appears elevated.</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Did an executive accept residual exposure, assign remediation capacity, or approve customer-facing commitments?</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Leadership receives a summary of delayed evidence but no one authorizes the external position before a customer audit response is sent.</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Policy refresh activity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Updated documentation creates the impression of stronger governance.</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Did the refresh change ownership, evidence requirements, control scope, or escalation behavior?</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policy is revised after a platform migration, but stale control populations remain unchanged.</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governance inventory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list of tools suggests use is controlled.</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Does the record distinguish administrative use from outputs that influence prioritization, classification, or approval?</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team records a drafting assistant but omits that it is used to rank complaint severity before human review.</w:t>
            </w:r>
          </w:p>
        </w:tc>
      </w:tr>
    </w:tbl>
    <w:p>
      <w:pPr>
        <w:spacing w:after="100"/>
      </w:pPr>
    </w:p>
    <w:p>
      <w:pPr>
        <w:pStyle w:val="Heading2"/>
        <w:keepNext/>
        <w:spacing w:before="240" w:after="100"/>
      </w:pPr>
      <w:r>
        <w:rPr>
          <w:rFonts w:ascii="Aptos Display" w:hAnsi="Aptos Display"/>
          <w:b/>
          <w:color w:val="17365D"/>
          <w:sz w:val="30"/>
        </w:rPr>
        <w:t>AI-Assisted Governance Failure Patterns</w:t>
      </w:r>
    </w:p>
    <w:p>
      <w:pPr>
        <w:keepLines w:val="0"/>
        <w:spacing w:after="120" w:line="271" w:lineRule="auto"/>
      </w:pPr>
      <w:r>
        <w:rPr>
          <w:rFonts w:ascii="Aptos" w:hAnsi="Aptos"/>
          <w:color w:val="2F3A4A"/>
          <w:sz w:val="20"/>
        </w:rPr>
        <w:t>AI-assisted workflows can intensify existing governance weaknesses because they make informal judgment faster, more scalable, and less visible. The failure is not the use of AI itself. The failure occurs when AI influence enters prioritization, analysis, drafting, or classification without accountable ownership, reliance boundaries, evidence retention, or escalation recalibration.</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AI Failure Pattern</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Weakness Exposed</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Asymmetrical Risk</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Example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Prioritization distortion</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thresholds are not recalibrated when automated ranking shapes work order.</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low-ranked item may carry contractual or reputational exposure that the model was not designed to detect.</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complaints are triaged by automated severity while regulatory sensitivity remains outside the scoring logic.</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Summary overreliance</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Reviewers rely on compressed narratives without checking omitted uncertainty, source limits, or conflicting evidence.</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Decision speed improves while factual completeness quietly declines.</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incident briefing uses an AI summary that excludes unresolved log gaps and becomes the basis for customer response language.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Classification laundering</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Machine labels are treated as neutral when they embed assumptions from incomplete training examples or narrow prompts.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human approver appears accountable but cannot explain why the classification was appropriate.</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Vendor issues are categorized as administrative delays even when they affect a contractual attestation deadline.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Unrecorded drafting influence</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Customer-facing language is shaped by AI output without retaining prompt, source scope, review basis, or override notes.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final statement may be defensible in tone but unsupported as an institutional position.</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sales assurance response inherits AI-generated caveats that legal did not review and compliance cannot trace.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Use-case creep</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tool approved for administrative support begins influencing risk triage, exception narratives, or remediation priority.</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approval remains scoped to the original low-risk use while operational reliance becomes material.</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An internal drafting tool becomes the first pass for incident severity summaries during a customer-facing outage.</w:t>
            </w:r>
          </w:p>
        </w:tc>
      </w:tr>
    </w:tbl>
    <w:p>
      <w:pPr>
        <w:spacing w:after="100"/>
      </w:pPr>
    </w:p>
    <w:p>
      <w:pPr>
        <w:pStyle w:val="Heading2"/>
        <w:keepNext/>
        <w:spacing w:before="120" w:after="100"/>
      </w:pPr>
      <w:r>
        <w:rPr>
          <w:rFonts w:ascii="Aptos Display" w:hAnsi="Aptos Display"/>
          <w:b/>
          <w:color w:val="17365D"/>
          <w:sz w:val="30"/>
        </w:rPr>
        <w:t>Institutional Blind Spots Under Pressure</w:t>
      </w:r>
    </w:p>
    <w:p>
      <w:pPr>
        <w:keepLines w:val="0"/>
        <w:spacing w:after="120" w:line="271" w:lineRule="auto"/>
      </w:pPr>
      <w:r>
        <w:rPr>
          <w:rFonts w:ascii="Aptos" w:hAnsi="Aptos"/>
          <w:color w:val="2F3A4A"/>
          <w:sz w:val="20"/>
        </w:rPr>
        <w:t>Under scaling pressure, governance failure modes become harder to distinguish from normal operational strain. Teams are busy, reviews occur, customers are answered, and dashboards update. The blind spot appears when pressure changes the route by which decisions are made while the formal governance model remains unchanged.</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Pressure Condition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Blind Spot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How Exposure Accumulates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Institutional Failure Example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Anchor</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Rapid growth</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New managers inherit obligations without the institutional memory that previously made informal governance work.</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Missed dependencies compound before anyone realizes the prior coordinator was closing gaps manually.</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control owner completes assigned reviews but misses evidence packaging needed for a customer attestation deadline.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Ownership transfer includes evidence obligations, escalation contacts, and unresolved exception history.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 deadline compression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Commercial urgency turns governance review into response approval rather than evidence evaluation.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Statements are made before limitations, exclusions, or exceptions are reconciled.</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assurance response is sent with last-quarter evidence because the current control owner cannot meet the request window.</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Deadline routing distinguishes response wording approval from control assertion approval.</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Vendor performance delay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dependency is treated as vendor inconvenience rather than internal governance exposure.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Customer-facing obligations remain active while supplier evidence, remediation, or notification lag.</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third-party audit letter arrives late and no one escalates because procurement owns the vendor relationship.</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Vendor delay maps to internal obligation owner, customer exposure, and escalation authority.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Incident response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containment receives attention while governance recordkeeping, authority, and evidence preservation lag.</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Facts, customer commitments, and remediation decisions diverge across functions.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Security resolves a technical issue while legal, compliance, and account teams maintain different timelines.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Incident governance assigns fact owner, decision owner, communication owner, and evidence owner.</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Tooling migration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Process continuity is assumed because the replacement platform performs the same business function.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populations, logs, reports, and permissions change before evidence expectations are reset.</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new platform goes live while legacy control reports remain in the assurance package.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Migration review includes control-to-process mapping and evidence transition criteria.</w:t>
            </w:r>
          </w:p>
        </w:tc>
      </w:tr>
    </w:tbl>
    <w:p>
      <w:pPr>
        <w:spacing w:after="100"/>
      </w:pPr>
    </w:p>
    <w:p>
      <w:pPr>
        <w:pStyle w:val="Heading2"/>
        <w:keepNext/>
        <w:spacing w:before="240" w:after="100"/>
      </w:pPr>
      <w:r>
        <w:rPr>
          <w:rFonts w:ascii="Aptos Display" w:hAnsi="Aptos Display"/>
          <w:b/>
          <w:color w:val="17365D"/>
          <w:sz w:val="30"/>
        </w:rPr>
        <w:t>Failure Mode Stabilization Standard</w:t>
      </w:r>
    </w:p>
    <w:p>
      <w:pPr>
        <w:keepLines w:val="0"/>
        <w:spacing w:after="140" w:line="271" w:lineRule="auto"/>
      </w:pPr>
      <w:r>
        <w:rPr>
          <w:rFonts w:ascii="Aptos" w:hAnsi="Aptos"/>
          <w:color w:val="2F3A4A"/>
          <w:sz w:val="20"/>
        </w:rPr>
        <w:t>The governance standard established by this framework is that material failure modes must be identified by operating behavior, not only by documented nonconformance. A process can fail governance expectations while still appearing active, staffed, reviewed, and documented. The differentiating test is whether the institution can reconstruct the decision, evidence basis, accountability chain, escalation route, and unresolved exposure without relying on personal memory or retrospective assembly.</w:t>
      </w:r>
    </w:p>
    <w:p>
      <w:pPr>
        <w:keepLines w:val="0"/>
        <w:spacing w:after="140" w:line="271" w:lineRule="auto"/>
      </w:pPr>
      <w:r>
        <w:rPr>
          <w:rFonts w:ascii="Aptos" w:hAnsi="Aptos"/>
          <w:color w:val="2F3A4A"/>
          <w:sz w:val="20"/>
        </w:rPr>
        <w:t>Effective stabilization does not require routing every defect to senior leadership. It requires recognizing which failure mode is present. Evidence archaeology requires evidence lineage repair. Escalation fatigue requires authority and timing correction. Committee diffusion requires a single decision owner. AI-assisted distortion requires reliance boundaries and human accountability. Governance theater requires separating information flow from decision authority. The operating response must match the failure mechanism rather than adding more reporting to a weakened system.</w:t>
      </w:r>
    </w:p>
    <w:sectPr w:rsidR="00FC693F" w:rsidRPr="0006063C" w:rsidSect="00034616">
      <w:footerReference w:type="default" r:id="rId9"/>
      <w:pgSz w:w="12240" w:h="15840"/>
      <w:pgMar w:top="936" w:right="979" w:bottom="893" w:left="979" w:header="50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color w:val="536173"/>
        <w:sz w:val="17"/>
      </w:rPr>
      <w:t>Paladin Compliance Governance Binder | Section 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F3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