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80"/>
      </w:pPr>
      <w:r>
        <w:rPr>
          <w:rFonts w:ascii="Aptos Display" w:hAnsi="Aptos Display"/>
          <w:b/>
          <w:color w:val="17365D"/>
          <w:sz w:val="44"/>
        </w:rPr>
        <w:t>1.8 Public Trust &amp; Verification Concepts</w:t>
      </w:r>
    </w:p>
    <w:p>
      <w:pPr>
        <w:keepLines w:val="0"/>
        <w:spacing w:after="140" w:line="271" w:lineRule="auto"/>
      </w:pPr>
      <w:r>
        <w:rPr>
          <w:rFonts w:ascii="Aptos" w:hAnsi="Aptos"/>
          <w:color w:val="2F3A4A"/>
          <w:sz w:val="20"/>
        </w:rPr>
        <w:t>Public trust and verification are operational outcomes of credible governance, not a communications layer placed on top of weak controls. Within this framework, trust is earned when external representations can be traced to current evidence, accountable ownership, review discipline, and decision authority. A public-facing verification page, customer assurance packet, investor diligence response, or regulator-facing statement has governance value only to the extent that the underlying operating model continues to support the assertion being made.</w:t>
      </w:r>
    </w:p>
    <w:p>
      <w:pPr>
        <w:keepLines w:val="0"/>
        <w:spacing w:after="140" w:line="271" w:lineRule="auto"/>
      </w:pPr>
      <w:r>
        <w:rPr>
          <w:rFonts w:ascii="Aptos" w:hAnsi="Aptos"/>
          <w:color w:val="2F3A4A"/>
          <w:sz w:val="20"/>
        </w:rPr>
        <w:t>Governance visibility matters because external parties often cannot inspect the entire control environment. They rely on signals: attestation status, evidence packages, governance summaries, public trust centers, audit reports, AI-use disclosures, and the consistency of responses over time. These signals create accountability pressure. They also create asymmetrical risk when the visible representation remains polished after the evidence process, ownership map, or control population has degraded.</w:t>
      </w:r>
    </w:p>
    <w:p>
      <w:pPr>
        <w:keepLines w:val="0"/>
        <w:spacing w:after="140" w:line="271" w:lineRule="auto"/>
      </w:pPr>
      <w:r>
        <w:rPr>
          <w:rFonts w:ascii="Aptos" w:hAnsi="Aptos"/>
          <w:color w:val="2F3A4A"/>
          <w:sz w:val="20"/>
        </w:rPr>
        <w:t>Organizations implementing this framework treat trust artifacts as governed representations. A representation may be accurate when issued and misleading later if control scope changes, evidence ages, AI-assisted workflows expand, or exceptions accumulate outside the public narrative. The operating requirement is not maximum disclosure; it is disciplined alignment between what is shown, what is known, what is current, and what can be verified.</w:t>
      </w:r>
    </w:p>
    <w:p>
      <w:pPr>
        <w:pStyle w:val="Heading2"/>
        <w:keepNext/>
        <w:spacing w:before="200" w:after="100"/>
      </w:pPr>
      <w:r>
        <w:rPr>
          <w:rFonts w:ascii="Aptos Display" w:hAnsi="Aptos Display"/>
          <w:b/>
          <w:color w:val="17365D"/>
          <w:sz w:val="30"/>
        </w:rPr>
        <w:t>Public Trust Reference Principles</w:t>
      </w:r>
    </w:p>
    <w:p>
      <w:pPr>
        <w:spacing w:after="84" w:line="259" w:lineRule="auto"/>
        <w:ind w:left="259" w:hanging="259"/>
      </w:pPr>
      <w:r>
        <w:rPr>
          <w:rFonts w:ascii="Aptos" w:hAnsi="Aptos"/>
          <w:b/>
          <w:color w:val="17365D"/>
          <w:sz w:val="19"/>
        </w:rPr>
        <w:t xml:space="preserve">Credibility follows evidence. </w:t>
      </w:r>
      <w:r>
        <w:rPr>
          <w:rFonts w:ascii="Aptos" w:hAnsi="Aptos"/>
          <w:color w:val="2F3A4A"/>
          <w:sz w:val="19"/>
        </w:rPr>
        <w:t>External confidence is strongest when a claim can be traced to current evidence, review basis, accountable owner, and known limitation.</w:t>
      </w:r>
    </w:p>
    <w:p>
      <w:pPr>
        <w:spacing w:after="84" w:line="259" w:lineRule="auto"/>
        <w:ind w:left="259" w:hanging="259"/>
      </w:pPr>
      <w:r>
        <w:rPr>
          <w:rFonts w:ascii="Aptos" w:hAnsi="Aptos"/>
          <w:b/>
          <w:color w:val="17365D"/>
          <w:sz w:val="19"/>
        </w:rPr>
        <w:t xml:space="preserve">Visibility creates obligation. </w:t>
      </w:r>
      <w:r>
        <w:rPr>
          <w:rFonts w:ascii="Aptos" w:hAnsi="Aptos"/>
          <w:color w:val="2F3A4A"/>
          <w:sz w:val="19"/>
        </w:rPr>
        <w:t>Once a governance claim is made public or customer-facing, the organization inherits a maintenance burden that extends beyond document publication.</w:t>
      </w:r>
    </w:p>
    <w:p>
      <w:pPr>
        <w:spacing w:after="84" w:line="259" w:lineRule="auto"/>
        <w:ind w:left="259" w:hanging="259"/>
      </w:pPr>
      <w:r>
        <w:rPr>
          <w:rFonts w:ascii="Aptos" w:hAnsi="Aptos"/>
          <w:b/>
          <w:color w:val="17365D"/>
          <w:sz w:val="19"/>
        </w:rPr>
        <w:t xml:space="preserve">Freshness is a control attribute. </w:t>
      </w:r>
      <w:r>
        <w:rPr>
          <w:rFonts w:ascii="Aptos" w:hAnsi="Aptos"/>
          <w:color w:val="2F3A4A"/>
          <w:sz w:val="19"/>
        </w:rPr>
        <w:t>A stale verification artifact can become a false assurance mechanism even when it was accurate at the time of issuance.</w:t>
      </w:r>
    </w:p>
    <w:p>
      <w:pPr>
        <w:spacing w:after="84" w:line="259" w:lineRule="auto"/>
        <w:ind w:left="259" w:hanging="259"/>
      </w:pPr>
      <w:r>
        <w:rPr>
          <w:rFonts w:ascii="Aptos" w:hAnsi="Aptos"/>
          <w:b/>
          <w:color w:val="17365D"/>
          <w:sz w:val="19"/>
        </w:rPr>
        <w:t xml:space="preserve">Trust differs by audience. </w:t>
      </w:r>
      <w:r>
        <w:rPr>
          <w:rFonts w:ascii="Aptos" w:hAnsi="Aptos"/>
          <w:color w:val="2F3A4A"/>
          <w:sz w:val="19"/>
        </w:rPr>
        <w:t>Customers, investors, partners, regulators, and boards rely on different forms of assurance and are exposed to different failure consequences.</w:t>
      </w:r>
    </w:p>
    <w:p>
      <w:pPr>
        <w:pStyle w:val="Heading2"/>
        <w:keepNext/>
        <w:spacing w:before="280" w:after="100"/>
      </w:pPr>
      <w:r>
        <w:rPr>
          <w:rFonts w:ascii="Aptos Display" w:hAnsi="Aptos Display"/>
          <w:b/>
          <w:color w:val="17365D"/>
          <w:sz w:val="30"/>
        </w:rPr>
        <w:t>Governance Credibility Taxonomy</w:t>
      </w:r>
    </w:p>
    <w:p>
      <w:pPr>
        <w:keepLines w:val="0"/>
        <w:spacing w:after="120" w:line="271" w:lineRule="auto"/>
      </w:pPr>
      <w:r>
        <w:rPr>
          <w:rFonts w:ascii="Aptos" w:hAnsi="Aptos"/>
          <w:color w:val="2F3A4A"/>
          <w:sz w:val="20"/>
        </w:rPr>
        <w:t>The following taxonomy distinguishes forms of governance credibility by the operational basis supporting them. The categories are not a maturity ladder; they describe different credibility claims that require different maintenance disciplines.</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Credibility Condition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Operational Basis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External Interpretation</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Asymmetrical Risk</w:t>
            </w:r>
          </w:p>
        </w:tc>
        <w:tc>
          <w:tcPr>
            <w:tcW w:type="dxa" w:w="201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Verification Pressure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Documented posture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Policies, governance structures, and control descriptions are available for inspection.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organization appears to have an intentional governance model.</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Documentation may describe desired operation while execution, evidence, or ownership has drifted.</w:t>
            </w:r>
          </w:p>
        </w:tc>
        <w:tc>
          <w:tcPr>
            <w:tcW w:type="dxa" w:w="201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Requesters ask whether the documented model is actually operating during the current period.</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Evidence-backed assurance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Claims are tied to artifacts with source, period, owner, review scope, and exception treatment.</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representation can be tested against records rather than narrative confidence.</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single stale artifact can weaken a broader assurance package if it supports a material claim.</w:t>
            </w:r>
          </w:p>
        </w:tc>
        <w:tc>
          <w:tcPr>
            <w:tcW w:type="dxa" w:w="201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Reviewers challenge lineage, population coverage, known exceptions, and approval basis.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Verified operating status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trust center, attestation page, or assurance report reflects maintained control operation and update cadence.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External parties may treat the status as current unless limitations are clearly bounded.</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governance verification page may remain publicly accessible long after the underlying evidence maintenance process has stopped operating reliably.</w:t>
            </w:r>
          </w:p>
        </w:tc>
        <w:tc>
          <w:tcPr>
            <w:tcW w:type="dxa" w:w="201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organization must show update logic, owner responsibility, and stale-status controls.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Exception-aware credibility</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organization discloses or internally governs limitations without overstating completeness.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External confidence increases when uncertainty is bounded rather than hidden.</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Overdisclosure may create unnecessary concern; underdisclosure may create later credibility damage.</w:t>
            </w:r>
          </w:p>
        </w:tc>
        <w:tc>
          <w:tcPr>
            <w:tcW w:type="dxa" w:w="201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Assurance reviewers examine whether exceptions were known, material, and accurately characterized.</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Operationally tested trust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governance model has survived audit inquiry, incident review, customer challenge, or leadership transition.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Trust is supported by demonstrated resilience under scrutiny.</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Past survivability can create complacency if conditions have changed since the test occurred.</w:t>
            </w:r>
          </w:p>
        </w:tc>
        <w:tc>
          <w:tcPr>
            <w:tcW w:type="dxa" w:w="201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Stakeholders ask whether the prior test still applies to current systems, vendors, and AI-assisted workflows.</w:t>
            </w:r>
          </w:p>
        </w:tc>
      </w:tr>
    </w:tbl>
    <w:p>
      <w:pPr>
        <w:spacing w:after="100"/>
      </w:pPr>
    </w:p>
    <w:p>
      <w:pPr>
        <w:pStyle w:val="Heading2"/>
        <w:keepNext/>
        <w:spacing w:before="240" w:after="100"/>
      </w:pPr>
      <w:r>
        <w:rPr>
          <w:rFonts w:ascii="Aptos Display" w:hAnsi="Aptos Display"/>
          <w:b/>
          <w:color w:val="17365D"/>
          <w:sz w:val="30"/>
        </w:rPr>
        <w:t>Verification Integrity and Freshness Model</w:t>
      </w:r>
    </w:p>
    <w:p>
      <w:pPr>
        <w:keepLines w:val="0"/>
        <w:spacing w:after="120" w:line="271" w:lineRule="auto"/>
      </w:pPr>
      <w:r>
        <w:rPr>
          <w:rFonts w:ascii="Aptos" w:hAnsi="Aptos"/>
          <w:color w:val="2F3A4A"/>
          <w:sz w:val="20"/>
        </w:rPr>
        <w:t>Verification integrity depends on whether the visible assurance artifact remains connected to the operating facts it represents. Freshness is not merely the date printed on a report. It includes the currency of evidence, owner accountability, control population, exception status, system scope, and reliance boundaries for AI-assisted processes.</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75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Verification Element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Integrity Requirement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Freshness Trigger</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Decay Mode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Operational Control</w:t>
            </w:r>
          </w:p>
        </w:tc>
      </w:tr>
      <w:tr>
        <w:trPr>
          <w:cantSplit/>
        </w:trPr>
        <w:tc>
          <w:tcPr>
            <w:tcW w:type="dxa" w:w="175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Public trust page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Displayed status reflects maintained evidence, current scope, and named content owner.</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Control failure, audit report update, material system change, or unresolved exception affecting the statement.</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page remains accessible while underlying attestations, policies, or evidence packages age beyond review cadence.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Assign update owner, review interval, stale-status suppression criteria, and exception-linked change control.</w:t>
            </w:r>
          </w:p>
        </w:tc>
      </w:tr>
      <w:tr>
        <w:trPr>
          <w:cantSplit/>
        </w:trPr>
        <w:tc>
          <w:tcPr>
            <w:tcW w:type="dxa" w:w="175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Customer assurance packet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Responses match current evidence and do not reuse artifacts beyond their supportable period.</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Customer-specific obligation, revised control scope, vendor dependency change, or new exclusion.</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Sales or account teams reuse prior responses because current evidence is not ready by deadline.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Route assurance language through evidence owner and record limitations separately from commercial approval.</w:t>
            </w:r>
          </w:p>
        </w:tc>
      </w:tr>
      <w:tr>
        <w:trPr>
          <w:cantSplit/>
        </w:trPr>
        <w:tc>
          <w:tcPr>
            <w:tcW w:type="dxa" w:w="175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Investor diligence response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Governance claims distinguish established controls from in-progress remediation or planned maturity.</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Fundraising, material incident, acquisition diligence, or significant operating model change.</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Forward-looking governance language is interpreted as current operating capability.</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Separate present-state assurance from roadmap claims and preserve decision basis for material statements.</w:t>
            </w:r>
          </w:p>
        </w:tc>
      </w:tr>
      <w:tr>
        <w:trPr>
          <w:cantSplit/>
        </w:trPr>
        <w:tc>
          <w:tcPr>
            <w:tcW w:type="dxa" w:w="175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Regulatory or accreditation support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Evidence is traceable to obligation, period, control intent, and reviewer authority.</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Scope expansion, revised standard, enforcement inquiry, or failure trend.</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Artifacts are complete but cannot prove the specific assertion under review.</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Maintain evidence maps by obligation and require exception disposition before external submission.</w:t>
            </w:r>
          </w:p>
        </w:tc>
      </w:tr>
      <w:tr>
        <w:trPr>
          <w:cantSplit/>
        </w:trPr>
        <w:tc>
          <w:tcPr>
            <w:tcW w:type="dxa" w:w="175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AI-use disclosure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Statements reflect actual reliance level, data sensitivity, human review, and use-case boundaries.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New AI workflow, model change, expanded user population, or shift from drafting to decision influence.</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Disclosure describes low-risk administrative use while AI output begins shaping prioritization or external communication.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Track use-case changes, decision influence, validation evidence, and accountable human owner.</w:t>
            </w:r>
          </w:p>
        </w:tc>
      </w:tr>
    </w:tbl>
    <w:p>
      <w:pPr>
        <w:spacing w:after="100"/>
      </w:pPr>
    </w:p>
    <w:p>
      <w:pPr>
        <w:pStyle w:val="Heading2"/>
        <w:keepNext/>
        <w:spacing w:before="240" w:after="100"/>
      </w:pPr>
      <w:r>
        <w:rPr>
          <w:rFonts w:ascii="Aptos Display" w:hAnsi="Aptos Display"/>
          <w:b/>
          <w:color w:val="17365D"/>
          <w:sz w:val="30"/>
        </w:rPr>
        <w:t>Stakeholder Trust Distinctions</w:t>
      </w:r>
    </w:p>
    <w:p>
      <w:pPr>
        <w:keepLines w:val="0"/>
        <w:spacing w:after="120" w:line="271" w:lineRule="auto"/>
      </w:pPr>
      <w:r>
        <w:rPr>
          <w:rFonts w:ascii="Aptos" w:hAnsi="Aptos"/>
          <w:color w:val="2F3A4A"/>
          <w:sz w:val="20"/>
        </w:rPr>
        <w:t>Different stakeholders rely on governance signals for different decisions. A representation that is sufficient for a procurement screening may be insufficient for an investor diligence process or regulator-facing submission. This framework distinguishes audience reliance so that trust artifacts are not reused outside the purpose they can support.</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51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Audience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Reliance Decision</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Evidence They Tend to Value</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Credibility Failure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Governance Tradeoff</w:t>
            </w:r>
          </w:p>
        </w:tc>
      </w:tr>
      <w:tr>
        <w:trPr>
          <w:cantSplit/>
        </w:trPr>
        <w:tc>
          <w:tcPr>
            <w:tcW w:type="dxa" w:w="151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Whether to entrust data, rely on service continuity, or accept vendor risk.</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Current attestations, control summaries, incident handling evidence, contractual response consistency.</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customer receives polished assurance language that omits an aging exception affecting the promised control.</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Fast responses support revenue, but speed can overrun evidence review and create later challenge risk.</w:t>
            </w:r>
          </w:p>
        </w:tc>
      </w:tr>
      <w:tr>
        <w:trPr>
          <w:cantSplit/>
        </w:trPr>
        <w:tc>
          <w:tcPr>
            <w:tcW w:type="dxa" w:w="151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Investor</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Whether governance can scale without hidden operational fragility.</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Board oversight records, risk registers, maturity progression, key-person dependency reduction, audit survivability.</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diligence packet describes institutional governance while unresolved issues still depend on one informal coordinator.</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Concise executive materials improve diligence flow but may flatten material maturity asymmetries.</w:t>
            </w:r>
          </w:p>
        </w:tc>
      </w:tr>
      <w:tr>
        <w:trPr>
          <w:cantSplit/>
        </w:trPr>
        <w:tc>
          <w:tcPr>
            <w:tcW w:type="dxa" w:w="151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Regulator or accreditor</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Whether the organization can substantiate compliance against defined obligations.</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Traceable evidence, decision authority, exception disposition, control-to-obligation mapping.</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Documentation exists, but artifacts cannot prove the population, period, or review basis under examination.</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Narrow representations reduce overstatement risk but require precise scope discipline.</w:t>
            </w:r>
          </w:p>
        </w:tc>
      </w:tr>
      <w:tr>
        <w:trPr>
          <w:cantSplit/>
        </w:trPr>
        <w:tc>
          <w:tcPr>
            <w:tcW w:type="dxa" w:w="151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Strategic partner</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Whether shared operations, integrations, or customer commitments can be relied upon.</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Dependency maps, incident coordination model, vendor oversight, change-control evidence.</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partner assumes integration governance is mature because public assurance artifacts are current.</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Broader transparency can accelerate partnership approval while exposing unresolved dependency gaps.</w:t>
            </w:r>
          </w:p>
        </w:tc>
      </w:tr>
      <w:tr>
        <w:trPr>
          <w:cantSplit/>
        </w:trPr>
        <w:tc>
          <w:tcPr>
            <w:tcW w:type="dxa" w:w="151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Board or executive sponsor</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Whether residual exposure is understood, accepted, funded, or remediated.</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Exception aging, escalation outcomes, remediation capacity, assurance limitation summaries.</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Leadership sees dashboard volume and misses the fact that no forum owns a material remediation decision.</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Summarization preserves attention but can hide evidence limits and unresolved ownership.</w:t>
            </w:r>
          </w:p>
        </w:tc>
      </w:tr>
    </w:tbl>
    <w:p>
      <w:pPr>
        <w:spacing w:after="100"/>
      </w:pPr>
    </w:p>
    <w:p>
      <w:pPr>
        <w:pStyle w:val="Heading2"/>
        <w:keepNext/>
        <w:spacing w:before="240" w:after="100"/>
      </w:pPr>
      <w:r>
        <w:rPr>
          <w:rFonts w:ascii="Aptos Display" w:hAnsi="Aptos Display"/>
          <w:b/>
          <w:color w:val="17365D"/>
          <w:sz w:val="30"/>
        </w:rPr>
        <w:t>Public-Facing Governance Risk Patterns</w:t>
      </w:r>
    </w:p>
    <w:p>
      <w:pPr>
        <w:keepLines w:val="0"/>
        <w:spacing w:after="120" w:line="271" w:lineRule="auto"/>
      </w:pPr>
      <w:r>
        <w:rPr>
          <w:rFonts w:ascii="Aptos" w:hAnsi="Aptos"/>
          <w:color w:val="2F3A4A"/>
          <w:sz w:val="20"/>
        </w:rPr>
        <w:t>Public-facing governance artifacts create credibility when they are accurate, bounded, and maintained. They create institutional risk when branding, convenience, or response pressure separates the visible signal from the underlying governance discipline.</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Risk Pattern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How It Appears</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Why It Is Plausible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Credibility Exposure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Control Response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Stale governance signaling</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verification badge, status page, or assurance summary remains published after evidence review slows or scope changes.</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No incident has occurred, so the visible claim is not treated as urgent.</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External parties rely on a status that no longer reflects operating reality.</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Tie public status to evidence freshness checks, system scope review, and exception triggers.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Ceremonial assurance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binder, policy set, or trust center is maintained for presentation but not used in operating decisions.</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artifact satisfies procurement, diligence, or executive display needs.</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Governance branding survives while governance discipline erodes.</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Compare public artifacts against actual escalation records, evidence packages, and control-owner behavior.</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Outdated attestation reliance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Prior audit reports or certificates are reused to answer new assurance questions outside their scope.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Third-party reports carry authority and reduce response effort.</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report is accurate but not responsive to the current claim, product, system, or period.</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Require response reviewers to map attestation scope to the specific external question.</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Governance overstatement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Language implies full control coverage when exceptions, limitations, or partial implementation remain open.</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Commercial or reputational pressure favors confident wording.</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later audit or customer issue exposes a gap between statement and known internal condition.</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Separate confidence language from evidence-supported assertions and record known limitations.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Inconsistent external narratives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Customers, investors, and partners receive different descriptions of the same governance condition.</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Teams tailor responses to audience expectations without a controlled source of truth.</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Trust erodes when stakeholders compare materials or during acquisition diligence.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Maintain governed response language with owner, scope, version, and exception context.</w:t>
            </w:r>
          </w:p>
        </w:tc>
      </w:tr>
    </w:tbl>
    <w:p>
      <w:pPr>
        <w:spacing w:after="100"/>
      </w:pPr>
    </w:p>
    <w:p>
      <w:pPr>
        <w:pStyle w:val="Heading2"/>
        <w:keepNext/>
        <w:spacing w:before="240" w:after="100"/>
      </w:pPr>
      <w:r>
        <w:rPr>
          <w:rFonts w:ascii="Aptos Display" w:hAnsi="Aptos Display"/>
          <w:b/>
          <w:color w:val="17365D"/>
          <w:sz w:val="30"/>
        </w:rPr>
        <w:t>AI-Assisted Trust Complications</w:t>
      </w:r>
    </w:p>
    <w:p>
      <w:pPr>
        <w:keepLines w:val="0"/>
        <w:spacing w:after="120" w:line="271" w:lineRule="auto"/>
      </w:pPr>
      <w:r>
        <w:rPr>
          <w:rFonts w:ascii="Aptos" w:hAnsi="Aptos"/>
          <w:color w:val="2F3A4A"/>
          <w:sz w:val="20"/>
        </w:rPr>
        <w:t>AI-assisted workflows complicate institutional trust because they can shape external language, summarize evidence, rank urgency, or classify issues before a human approver sees the final output. The trust risk is not limited to model accuracy. It includes whether the organization can show how machine-assisted influence was bounded, reviewed, and prevented from overstating governance confidence.</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AI Trust Risk</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Operational Mechanism</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External Trust Impact</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Verification Challenge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Governance Boundary</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Communication confidence inflation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Drafting tools produce fluent assurance language that sounds more certain than the evidence permits.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Customers or partners may infer stronger control coverage than the organization can support.</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Reviewers must distinguish style approval from evidence-backed claim approval.</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Require human review against evidence source, known limitations, and approved assurance language.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Summary compression loss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AI-generated summaries omit uncertainty, conflicting records, or stale evidence context.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Decision-makers rely on clean narratives that understate unresolved exposure.</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final summary may be retained without source scope or validation notes.</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Preserve source set, reviewer validation, and material omissions for consequential summaries.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Reliance boundary drift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tool approved for drafting begins shaping prioritization, classification, or response strategy.</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External statements reflect operational judgment influenced by an ungoverned workflow.</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inventory may list the tool while missing how reliance changed over time.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Reassess use cases when output affects customer communication, escalation, or risk interpretation.</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Evidence synthesis opacity</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Automated analysis aggregates multiple records without preserving lineage in the decision packet.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organization can produce an answer but not the path that made the answer credible.</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Audit or customer challenge requires reconstructing inputs after the representation was made.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Attach lineage, prompt scope, reviewer, and override notes to material AI-assisted evidence synthesis.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Public disclosure mismatch</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External AI-use descriptions lag behind actual operational adoption.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Stakeholders believe AI is limited to low-impact tasks while it has entered assurance or incident workflows.</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Disclosure freshness depends on detecting workflow change, not only tool procurement.</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Link AI disclosures to use-case review, workflow monitoring, and escalation thresholds.</w:t>
            </w:r>
          </w:p>
        </w:tc>
      </w:tr>
    </w:tbl>
    <w:p>
      <w:pPr>
        <w:spacing w:after="100"/>
      </w:pPr>
    </w:p>
    <w:p>
      <w:pPr>
        <w:pStyle w:val="Heading2"/>
        <w:keepNext/>
        <w:spacing w:before="240" w:after="100"/>
      </w:pPr>
      <w:r>
        <w:rPr>
          <w:rFonts w:ascii="Aptos Display" w:hAnsi="Aptos Display"/>
          <w:b/>
          <w:color w:val="17365D"/>
          <w:sz w:val="30"/>
        </w:rPr>
        <w:t>Verification Misuse and Trust Erosion</w:t>
      </w:r>
    </w:p>
    <w:p>
      <w:pPr>
        <w:keepLines w:val="0"/>
        <w:spacing w:after="120" w:line="271" w:lineRule="auto"/>
      </w:pPr>
      <w:r>
        <w:rPr>
          <w:rFonts w:ascii="Aptos" w:hAnsi="Aptos"/>
          <w:color w:val="2F3A4A"/>
          <w:sz w:val="20"/>
        </w:rPr>
        <w:t>Verification can be misused when an artifact designed for one purpose is treated as proof for another. This misuse is common because verification artifacts are convenient, authoritative-looking, and often easier to circulate than the underlying evidence record. Trust erodes when stakeholders discover that the artifact was accurate in form but misapplied in substance.</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Misuse Pattern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Incorrect Reliance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Operational Consequence</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Credibility Damage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Preventive Discipline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Scope substitution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report covering one system is used to support assurance over a newer platform.</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Control gaps remain hidden because the artifact appears externally credible.</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Stakeholders question whether other representations were similarly stretched.</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Map every external claim to system, control, period, and population before release.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Date substitution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An old attestation is presented as current because no replacement is available.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Short-term response pressure creates long-term challenge exposure.</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institution appears willing to trade accuracy for convenience.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Use freshness labels, expiration logic, and exception approval for outdated materials.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Audience substitution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An investor-facing maturity statement is reused as customer control assurance.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Strategic language is mistaken for operational proof.</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organization seems to blur ambition, readiness, and current control operation.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Classify materials by intended audience, assertion type, and evidence standard.</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Exception omission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Verification materials exclude known limitations because they are being remediated.</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External parties rely on completeness while internal teams track unresolved exposure elsewhere.</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Discovery of omitted exceptions can damage trust more than the original control issue.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Record whether exceptions are immaterial, disclosed, internally accepted, or excluded from the claim.</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Branding without discipline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Trust materials are updated visually while evidence maintenance, ownership, or review cadence weakens.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organization invests in presentation while the verification mechanism decays.</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Polished materials intensify concern when later shown to lack operational backing.</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Treat trust artifacts as controlled governance records, not marketing collateral.</w:t>
            </w:r>
          </w:p>
        </w:tc>
      </w:tr>
    </w:tbl>
    <w:p>
      <w:pPr>
        <w:spacing w:after="100"/>
      </w:pPr>
    </w:p>
    <w:p>
      <w:pPr>
        <w:pStyle w:val="Heading2"/>
        <w:keepNext/>
        <w:spacing w:before="240" w:after="100"/>
      </w:pPr>
      <w:r>
        <w:rPr>
          <w:rFonts w:ascii="Aptos Display" w:hAnsi="Aptos Display"/>
          <w:b/>
          <w:color w:val="17365D"/>
          <w:sz w:val="30"/>
        </w:rPr>
        <w:t>Operational Trustworthiness Standard</w:t>
      </w:r>
    </w:p>
    <w:p>
      <w:pPr>
        <w:keepLines w:val="0"/>
        <w:spacing w:after="140" w:line="271" w:lineRule="auto"/>
      </w:pPr>
      <w:r>
        <w:rPr>
          <w:rFonts w:ascii="Aptos" w:hAnsi="Aptos"/>
          <w:color w:val="2F3A4A"/>
          <w:sz w:val="20"/>
        </w:rPr>
        <w:t>The standard established by this framework is that public trust artifacts, customer assurance materials, investor diligence responses, and regulator-facing support must remain proportionate to the evidence and governance process behind them. A claim is credible when the organization can identify the evidence source, review period, responsible owner, known limitations, update trigger, and authority that approved the representation.</w:t>
      </w:r>
    </w:p>
    <w:p>
      <w:pPr>
        <w:keepLines w:val="0"/>
        <w:spacing w:after="140" w:line="271" w:lineRule="auto"/>
      </w:pPr>
      <w:r>
        <w:rPr>
          <w:rFonts w:ascii="Aptos" w:hAnsi="Aptos"/>
          <w:color w:val="2F3A4A"/>
          <w:sz w:val="20"/>
        </w:rPr>
        <w:t>Trust is not strengthened by making governance appear larger than it is. It is strengthened by maintaining a disciplined relationship between visible governance and effective governance. Public-facing assurance may be concise, but the underlying record must be current enough to withstand challenge, bounded enough to avoid overstatement, and operationally connected enough to reveal when the claim needs to change.</w:t>
      </w:r>
    </w:p>
    <w:sectPr w:rsidR="00FC693F" w:rsidRPr="0006063C" w:rsidSect="00034616">
      <w:footerReference w:type="default" r:id="rId9"/>
      <w:pgSz w:w="12240" w:h="15840"/>
      <w:pgMar w:top="936" w:right="979" w:bottom="893" w:left="979" w:header="504"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ptos" w:hAnsi="Aptos"/>
        <w:color w:val="536173"/>
        <w:sz w:val="17"/>
      </w:rPr>
      <w:t>Paladin Compliance Governance Binder | Section 1.8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F3A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