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ptos Display" w:hAnsi="Aptos Display" w:eastAsia="Aptos Display"/>
          <w:b/>
          <w:color w:val="17365D"/>
          <w:sz w:val="44"/>
        </w:rPr>
        <w:t>1.15 Governance Change Management, Adaptation, and Institutional Evolution</w:t>
      </w:r>
    </w:p>
    <w:p>
      <w:pPr>
        <w:spacing w:line="271" w:lineRule="auto" w:after="124"/>
      </w:pPr>
      <w:r>
        <w:rPr>
          <w:rFonts w:ascii="Aptos" w:hAnsi="Aptos" w:eastAsia="Aptos"/>
          <w:b w:val="0"/>
          <w:color w:val="2F3A4A"/>
          <w:sz w:val="20"/>
        </w:rPr>
        <w:t>Governance change management is the institutional discipline through which governance structures, authorities, evidence expectations, control mappings, escalation pathways, and accountability models remain aligned as the organization changes. This governance framework treats change as a recurring condition of governance rather than an episodic project event. The institution is rarely at risk only because it changes; it is at risk when operating reality changes faster than the governance model can understand, authorize, evidence, and sustain the new condition.</w:t>
      </w:r>
    </w:p>
    <w:p>
      <w:pPr>
        <w:spacing w:line="271" w:lineRule="auto" w:after="124"/>
      </w:pPr>
      <w:r>
        <w:rPr>
          <w:rFonts w:ascii="Aptos" w:hAnsi="Aptos" w:eastAsia="Aptos"/>
          <w:b w:val="0"/>
          <w:color w:val="2F3A4A"/>
          <w:sz w:val="20"/>
        </w:rPr>
        <w:t>Governance failure frequently occurs during transition rather than steady state. A process migration, vendor replacement, operating model redesign, leadership change, system modernization, staffing reallocation, or AI-assisted workflow deployment may temporarily separate actual work from documented control expectations. The transition period can produce authority gaps, evidence discontinuity, dependency opacity, unreviewed assumptions, and informal compensating behavior that survives long after the change is declared complete.</w:t>
      </w:r>
    </w:p>
    <w:p>
      <w:pPr>
        <w:spacing w:line="271" w:lineRule="auto" w:after="124"/>
      </w:pPr>
      <w:r>
        <w:rPr>
          <w:rFonts w:ascii="Aptos" w:hAnsi="Aptos" w:eastAsia="Aptos"/>
          <w:b w:val="0"/>
          <w:color w:val="2F3A4A"/>
          <w:sz w:val="20"/>
        </w:rPr>
        <w:t>Organizations implementing this framework shall distinguish continuity preservation from governance preservation. A transformation team may preserve service delivery while weakening decision traceability, evidence lineage, escalation timing, or control-to-process alignment. Operational teams may redesign workflows successfully while governance forums continue reviewing legacy metrics, stale exceptions, inherited committee charters, and controls that no longer represent the real population under management.</w:t>
      </w:r>
    </w:p>
    <w:p>
      <w:pPr>
        <w:spacing w:line="271" w:lineRule="auto" w:after="124"/>
      </w:pPr>
      <w:r>
        <w:rPr>
          <w:rFonts w:ascii="Aptos" w:hAnsi="Aptos" w:eastAsia="Aptos"/>
          <w:b w:val="0"/>
          <w:color w:val="2F3A4A"/>
          <w:sz w:val="20"/>
        </w:rPr>
        <w:t>Institutional evolution requires controlled adaptation. Static preservation of an old governance model can be as risky as unmanaged modernization. Procedural inertia may cause committees, controls, attestations, and reporting structures to survive after losing practical authority. Conversely, rapid redesign may create temporary governance structures that become permanent without reassessment. The durable governance condition is neither immobility nor improvisation; it is governed change with explicit transition authority, evidence conversion, dependency mapping, and post-change validation.</w:t>
      </w:r>
    </w:p>
    <w:p>
      <w:pPr>
        <w:pStyle w:val="Heading2"/>
        <w:keepNext/>
        <w:pageBreakBefore w:val="0"/>
        <w:spacing w:before="180" w:after="90"/>
      </w:pPr>
      <w:r>
        <w:rPr>
          <w:rFonts w:ascii="Aptos Display" w:hAnsi="Aptos Display" w:eastAsia="Aptos Display"/>
          <w:b/>
          <w:color w:val="17365D"/>
          <w:sz w:val="30"/>
        </w:rPr>
        <w:t>Change and Adaptation Reference Principles</w:t>
      </w:r>
    </w:p>
    <w:p>
      <w:pPr>
        <w:spacing w:line="259" w:lineRule="auto" w:after="84"/>
      </w:pPr>
      <w:r>
        <w:rPr>
          <w:rFonts w:ascii="Aptos" w:hAnsi="Aptos" w:eastAsia="Aptos"/>
          <w:b/>
          <w:color w:val="17365D"/>
          <w:sz w:val="19"/>
        </w:rPr>
        <w:t xml:space="preserve">Transition-state governance. </w:t>
      </w:r>
      <w:r>
        <w:rPr>
          <w:rFonts w:ascii="Aptos" w:hAnsi="Aptos" w:eastAsia="Aptos"/>
          <w:b w:val="0"/>
          <w:color w:val="2F3A4A"/>
          <w:sz w:val="19"/>
        </w:rPr>
        <w:t>A governance model shall define how authority, evidence, escalation, and accountability operate while systems, teams, vendors, workflows, or AI-assisted processes are changing. Ordinary steady-state procedures rarely provide enough structure for transition periods.</w:t>
      </w:r>
    </w:p>
    <w:p>
      <w:pPr>
        <w:spacing w:line="259" w:lineRule="auto" w:after="84"/>
      </w:pPr>
      <w:r>
        <w:rPr>
          <w:rFonts w:ascii="Aptos" w:hAnsi="Aptos" w:eastAsia="Aptos"/>
          <w:b/>
          <w:color w:val="17365D"/>
          <w:sz w:val="19"/>
        </w:rPr>
        <w:t xml:space="preserve">Adaptation debt. </w:t>
      </w:r>
      <w:r>
        <w:rPr>
          <w:rFonts w:ascii="Aptos" w:hAnsi="Aptos" w:eastAsia="Aptos"/>
          <w:b w:val="0"/>
          <w:color w:val="2F3A4A"/>
          <w:sz w:val="19"/>
        </w:rPr>
        <w:t>When operational change is absorbed through exceptions, manual bridges, temporary routing, undocumented interpretation, or repeated deferral of governance redesign, the institution accumulates adaptation debt that later appears as drift, fragility, or unreconstructable decision history.</w:t>
      </w:r>
    </w:p>
    <w:p>
      <w:pPr>
        <w:spacing w:line="259" w:lineRule="auto" w:after="84"/>
      </w:pPr>
      <w:r>
        <w:rPr>
          <w:rFonts w:ascii="Aptos" w:hAnsi="Aptos" w:eastAsia="Aptos"/>
          <w:b/>
          <w:color w:val="17365D"/>
          <w:sz w:val="19"/>
        </w:rPr>
        <w:t xml:space="preserve">Governance recalibration. </w:t>
      </w:r>
      <w:r>
        <w:rPr>
          <w:rFonts w:ascii="Aptos" w:hAnsi="Aptos" w:eastAsia="Aptos"/>
          <w:b w:val="0"/>
          <w:color w:val="2F3A4A"/>
          <w:sz w:val="19"/>
        </w:rPr>
        <w:t>Controls, evidence, committee mandates, ownership maps, escalation thresholds, and external representations must be recalibrated when the underlying operating model changes. Recalibration is not limited to document revision; it includes authority, timing, source population, dependency, and decision consequence.</w:t>
      </w:r>
    </w:p>
    <w:p>
      <w:pPr>
        <w:spacing w:line="259" w:lineRule="auto" w:after="84"/>
      </w:pPr>
      <w:r>
        <w:rPr>
          <w:rFonts w:ascii="Aptos" w:hAnsi="Aptos" w:eastAsia="Aptos"/>
          <w:b/>
          <w:color w:val="17365D"/>
          <w:sz w:val="19"/>
        </w:rPr>
        <w:t xml:space="preserve">Migration survivability. </w:t>
      </w:r>
      <w:r>
        <w:rPr>
          <w:rFonts w:ascii="Aptos" w:hAnsi="Aptos" w:eastAsia="Aptos"/>
          <w:b w:val="0"/>
          <w:color w:val="2F3A4A"/>
          <w:sz w:val="19"/>
        </w:rPr>
        <w:t>A migrated process shall remain governable during and after transition. The institution must be able to explain what changed, which assumptions carried forward, which controls were retired or redesigned, which evidence sources changed, and who accepted interim exposure.</w:t>
      </w:r>
    </w:p>
    <w:p>
      <w:pPr>
        <w:spacing w:line="259" w:lineRule="auto" w:after="84"/>
      </w:pPr>
      <w:r>
        <w:rPr>
          <w:rFonts w:ascii="Aptos" w:hAnsi="Aptos" w:eastAsia="Aptos"/>
          <w:b/>
          <w:color w:val="17365D"/>
          <w:sz w:val="19"/>
        </w:rPr>
        <w:t xml:space="preserve">Adaptive legitimacy. </w:t>
      </w:r>
      <w:r>
        <w:rPr>
          <w:rFonts w:ascii="Aptos" w:hAnsi="Aptos" w:eastAsia="Aptos"/>
          <w:b w:val="0"/>
          <w:color w:val="2F3A4A"/>
          <w:sz w:val="19"/>
        </w:rPr>
        <w:t>Governance adaptation is legitimate when the institution can demonstrate authority alignment, evidence continuity, ownership continuity, dependency visibility, and decision traceability across the change, not merely after the new process stabilizes.</w:t>
      </w:r>
    </w:p>
    <w:p>
      <w:pPr>
        <w:pStyle w:val="Heading2"/>
        <w:keepNext/>
        <w:pageBreakBefore/>
        <w:spacing w:before="180" w:after="90"/>
      </w:pPr>
      <w:r>
        <w:rPr>
          <w:rFonts w:ascii="Aptos Display" w:hAnsi="Aptos Display" w:eastAsia="Aptos Display"/>
          <w:b/>
          <w:color w:val="17365D"/>
          <w:sz w:val="30"/>
        </w:rPr>
        <w:t>Governance Change Taxonomy</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699"/>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Change Type</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Operational Event</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Governance Stress</w:t>
            </w:r>
          </w:p>
        </w:tc>
        <w:tc>
          <w:tcPr>
            <w:tcW w:type="dxa" w:w="2534"/>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Failure Pattern</w:t>
            </w:r>
          </w:p>
        </w:tc>
        <w:tc>
          <w:tcPr>
            <w:tcW w:type="dxa" w:w="3024"/>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Required Governance Response</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Organizational redesign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Functions, reporting lines, committee mandates, or ownership structures are reorganized.</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Accountability transfers before authority maps and escalation paths are refreshed.</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Issues remain active but no role clearly owns residual exposure.</w:t>
            </w:r>
          </w:p>
        </w:tc>
        <w:tc>
          <w:tcPr>
            <w:tcW w:type="dxa" w:w="302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Reconfirm owner authority, committee mandates, unresolved issue transfer, and decision rights before relying on new structure.</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Workflow migration</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Operational work moves to a new queue, platform, vendor process, team model, or intake path.</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Controls and evidence may continue referencing the prior workflow.</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Legacy reporting remains complete while actual work occurs elsewhere.</w:t>
            </w:r>
          </w:p>
        </w:tc>
        <w:tc>
          <w:tcPr>
            <w:tcW w:type="dxa" w:w="302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Validate control-to-process mapping, source population, evidence logic, and routing criteria after migration.</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Technology modernization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Systems are replaced, integrated, automated, or reconfigured to improve throughput or visibility.</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Field meaning, source lineage, and evidence extraction logic can change quietly.</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Dashboards survive while underlying assumptions no longer match governed conditions.</w:t>
            </w:r>
          </w:p>
        </w:tc>
        <w:tc>
          <w:tcPr>
            <w:tcW w:type="dxa" w:w="302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Require data lineage review, metric continuity testing, and evidence package comparison across old and new systems.</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transition</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provider is replaced, renewed, re-scoped, consolidated, or materially changes tooling or support model.</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knowledge, evidence formats, response timing, and interpretation practices shift.</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Internal governance depends on external assumptions no one can reproduce.</w:t>
            </w:r>
          </w:p>
        </w:tc>
        <w:tc>
          <w:tcPr>
            <w:tcW w:type="dxa" w:w="302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Separate contractual transition from governance transition and validate internal interpretive capacity.</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Staffing change</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Key personnel leave, teams resize, responsibilities shift, or specialist coverage changes.</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Institutional memory and informal coordination may move faster than documentation.</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Work continues through partial handoff while decision rationale and dependency context degrade.</w:t>
            </w:r>
          </w:p>
        </w:tc>
        <w:tc>
          <w:tcPr>
            <w:tcW w:type="dxa" w:w="302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Use transition packets, backup owner certification, and unresolved exposure handover requirements.</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Control redesign</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control is retired, combined, automated, replaced, or re-scoped.</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control objective may remain valid while execution evidence and ownership change.</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redesigned control appears modernized but covers a narrower condition than the prior control.</w:t>
            </w:r>
          </w:p>
        </w:tc>
        <w:tc>
          <w:tcPr>
            <w:tcW w:type="dxa" w:w="302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Compare objective, population, evidence, frequency, owner, and exception handling before and after redesign.</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Operating model expansion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New products, regions, customer types, channels, or service models are added.</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Governance scope grows before oversight capacity or evidence discipline catches up.</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Legacy governance is extended by assumption rather than applicability analysis.</w:t>
            </w:r>
          </w:p>
        </w:tc>
        <w:tc>
          <w:tcPr>
            <w:tcW w:type="dxa" w:w="302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Trigger scope review, materiality thresholds, dependency mapping, and authority scaling before reliance.</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AI-assisted process adoption</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 tools classify, summarize, prioritize, route, draft, or recommend workflow actions.</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Automation changes timing, attention allocation, evidence interpretation, and decision framing.</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Governance thresholds drift because the AI-mediated process becomes ordinary before review.</w:t>
            </w:r>
          </w:p>
        </w:tc>
        <w:tc>
          <w:tcPr>
            <w:tcW w:type="dxa" w:w="302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Inventory AI influence points, validate threshold effects, assign human authority, and test fallback process.</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Emergency change</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Incident containment, deadline pressure, vendor outage, staffing shortage, or urgent customer need creates temporary governance behavior.</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Temporary authority and workaround evidence may outlive the emergency.</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Interim practices become permanent without decision record.</w:t>
            </w:r>
          </w:p>
        </w:tc>
        <w:tc>
          <w:tcPr>
            <w:tcW w:type="dxa" w:w="302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Set expiry, interim exposure owner, post-event review, and formal adoption or rollback decision.</w:t>
            </w:r>
          </w:p>
        </w:tc>
      </w:tr>
    </w:tbl>
    <w:p>
      <w:pPr>
        <w:spacing w:after="100"/>
      </w:pPr>
    </w:p>
    <w:p>
      <w:pPr>
        <w:pStyle w:val="Heading2"/>
        <w:keepNext/>
        <w:pageBreakBefore w:val="0"/>
        <w:spacing w:before="180" w:after="90"/>
      </w:pPr>
      <w:r>
        <w:rPr>
          <w:rFonts w:ascii="Aptos Display" w:hAnsi="Aptos Display" w:eastAsia="Aptos Display"/>
          <w:b/>
          <w:color w:val="17365D"/>
          <w:sz w:val="30"/>
        </w:rPr>
        <w:t>Institutional Adaptation Pathways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757"/>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Adaptation Pathway</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How Change Enters Governance</w:t>
            </w:r>
          </w:p>
        </w:tc>
        <w:tc>
          <w:tcPr>
            <w:tcW w:type="dxa" w:w="2419"/>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Institutional Benefit</w:t>
            </w:r>
          </w:p>
        </w:tc>
        <w:tc>
          <w:tcPr>
            <w:tcW w:type="dxa" w:w="2678"/>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Asymmetrical Risk</w:t>
            </w:r>
          </w:p>
        </w:tc>
        <w:tc>
          <w:tcPr>
            <w:tcW w:type="dxa" w:w="2966"/>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Governance Discipline</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Controlled redesign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Governance structures are deliberately revised before or during operational change.</w:t>
            </w:r>
          </w:p>
        </w:tc>
        <w:tc>
          <w:tcPr>
            <w:tcW w:type="dxa" w:w="241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Authority, evidence, and control expectations move with the operating model.</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Design discipline can slow operational implementation if applied without materiality triage.</w:t>
            </w:r>
          </w:p>
        </w:tc>
        <w:tc>
          <w:tcPr>
            <w:tcW w:type="dxa" w:w="296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Use exposure-based sequencing so high-consequence dependencies are recalibrated first.</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Layered exception</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Existing governance remains in place while repeated exceptions absorb new reality.</w:t>
            </w:r>
          </w:p>
        </w:tc>
        <w:tc>
          <w:tcPr>
            <w:tcW w:type="dxa" w:w="241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Continuity is preserved without disrupting familiar forums or documentation.</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Exceptions become the real operating model while core governance remains historically anchored.</w:t>
            </w:r>
          </w:p>
        </w:tc>
        <w:tc>
          <w:tcPr>
            <w:tcW w:type="dxa" w:w="296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Set exception aging limits and require redesign decision when recurrence indicates structural change.</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Informal adaptation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Teams adjust routing, evidence collection, or review preparation outside formal change control.</w:t>
            </w:r>
          </w:p>
        </w:tc>
        <w:tc>
          <w:tcPr>
            <w:tcW w:type="dxa" w:w="241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Operational staff solve friction quickly and preserve throughput.</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institution loses visibility into assumptions that now govern decisions.</w:t>
            </w:r>
          </w:p>
        </w:tc>
        <w:tc>
          <w:tcPr>
            <w:tcW w:type="dxa" w:w="296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Capture actual process changes through workflow observation and dependency review.</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Inherited carry-forward</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Legacy controls, committees, owners, or metrics are retained after merger, reorganization, or platform migration.</w:t>
            </w:r>
          </w:p>
        </w:tc>
        <w:tc>
          <w:tcPr>
            <w:tcW w:type="dxa" w:w="241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Continuity feels stable and reduces immediate governance disruption.</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Prior rationale may no longer fit current risk, scale, or authority model.</w:t>
            </w:r>
          </w:p>
        </w:tc>
        <w:tc>
          <w:tcPr>
            <w:tcW w:type="dxa" w:w="296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Review carry-forward assumptions and require current owner acceptance for continued reliance.</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Temporary governance</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Interim owners, special forums, manual evidence bridges, or provisional thresholds are created for transition.</w:t>
            </w:r>
          </w:p>
        </w:tc>
        <w:tc>
          <w:tcPr>
            <w:tcW w:type="dxa" w:w="241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Transition exposure receives structure before steady-state design is complete.</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Temporary arrangements can institutionalize without expiry or reassessment.</w:t>
            </w:r>
          </w:p>
        </w:tc>
        <w:tc>
          <w:tcPr>
            <w:tcW w:type="dxa" w:w="296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Define scope, authority, expiration, decision log, and exit criteria at creation.</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Fragmented governance</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Different functions adapt their own portions of a changed workflow independently.</w:t>
            </w:r>
          </w:p>
        </w:tc>
        <w:tc>
          <w:tcPr>
            <w:tcW w:type="dxa" w:w="241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Local teams can move without waiting for enterprise-wide redesign.</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Aggregate exposure lacks a single accountable decision owner.</w:t>
            </w:r>
          </w:p>
        </w:tc>
        <w:tc>
          <w:tcPr>
            <w:tcW w:type="dxa" w:w="296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Require integrated review for changes that cross evidence, authority, customer, vendor, or representation boundaries.</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Emergent governance</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New routines arise through repeated operational practice before formal documentation catches up.</w:t>
            </w:r>
          </w:p>
        </w:tc>
        <w:tc>
          <w:tcPr>
            <w:tcW w:type="dxa" w:w="241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organization learns from practice and adjusts to real constraints.</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Successful routines may bypass authority or evidence standards.</w:t>
            </w:r>
          </w:p>
        </w:tc>
        <w:tc>
          <w:tcPr>
            <w:tcW w:type="dxa" w:w="296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Evaluate emergent practices against decision integrity, evidence sufficiency, and escalation requirements.</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AI-mediated adaptation</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Automated tools reshape priority, sequence, drafting, categorization, or routing before governance models are updated.</w:t>
            </w:r>
          </w:p>
        </w:tc>
        <w:tc>
          <w:tcPr>
            <w:tcW w:type="dxa" w:w="241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institution gains speed and operational scale.</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Governance adaptation is compressed and may lag behind automation influence.</w:t>
            </w:r>
          </w:p>
        </w:tc>
        <w:tc>
          <w:tcPr>
            <w:tcW w:type="dxa" w:w="296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Treat AI-enabled workflow changes as governance change when they affect attention, evidence, authority, or reliance.</w:t>
            </w:r>
          </w:p>
        </w:tc>
      </w:tr>
    </w:tbl>
    <w:p>
      <w:pPr>
        <w:spacing w:after="100"/>
      </w:pPr>
    </w:p>
    <w:p>
      <w:pPr>
        <w:pStyle w:val="Heading2"/>
        <w:keepNext/>
        <w:pageBreakBefore w:val="0"/>
        <w:spacing w:before="180" w:after="90"/>
      </w:pPr>
      <w:r>
        <w:rPr>
          <w:rFonts w:ascii="Aptos Display" w:hAnsi="Aptos Display" w:eastAsia="Aptos Display"/>
          <w:b/>
          <w:color w:val="17365D"/>
          <w:sz w:val="30"/>
        </w:rPr>
        <w:t>Governance Transition Failure Patterns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757"/>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Failure Pattern</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Transition Condition</w:t>
            </w:r>
          </w:p>
        </w:tc>
        <w:tc>
          <w:tcPr>
            <w:tcW w:type="dxa" w:w="2390"/>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Why It Is Missed</w:t>
            </w:r>
          </w:p>
        </w:tc>
        <w:tc>
          <w:tcPr>
            <w:tcW w:type="dxa" w:w="2678"/>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Institutional Consequence</w:t>
            </w:r>
          </w:p>
        </w:tc>
        <w:tc>
          <w:tcPr>
            <w:tcW w:type="dxa" w:w="2995"/>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Corrective Treatment</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Authority migration gap</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Responsibility moves to a new team before formal decision authority is reassigned.</w:t>
            </w:r>
          </w:p>
        </w:tc>
        <w:tc>
          <w:tcPr>
            <w:tcW w:type="dxa" w:w="239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Work continues because the receiving team can execute tasks.</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Operational ownership is mistaken for authority to accept residual exposure.</w:t>
            </w:r>
          </w:p>
        </w:tc>
        <w:tc>
          <w:tcPr>
            <w:tcW w:type="dxa" w:w="2995"/>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Require authority confirmation for transferred obligations, exceptions, and external reliance decisions.</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discontinuity</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Source system, export logic, population scope, or evidence owner changes during migration.</w:t>
            </w:r>
          </w:p>
        </w:tc>
        <w:tc>
          <w:tcPr>
            <w:tcW w:type="dxa" w:w="239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New reports appear complete and familiar.</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cannot demonstrate continuity across the change period.</w:t>
            </w:r>
          </w:p>
        </w:tc>
        <w:tc>
          <w:tcPr>
            <w:tcW w:type="dxa" w:w="2995"/>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Retain parallel evidence comparison and identify the first reliable post-transition evidence period.</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Committee survivorship</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committee continues meeting after its practical decision rights moved elsewhere.</w:t>
            </w:r>
          </w:p>
        </w:tc>
        <w:tc>
          <w:tcPr>
            <w:tcW w:type="dxa" w:w="239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Cadence, minutes, and attendance create continuity appearance.</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Review survives while authority exits the forum.</w:t>
            </w:r>
          </w:p>
        </w:tc>
        <w:tc>
          <w:tcPr>
            <w:tcW w:type="dxa" w:w="2995"/>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Revalidate committee charter, decision mandate, escalation power, and dependency ownership after redesign.</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Legacy control persistence</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Controls remain scheduled after the workflow they govern has changed materially.</w:t>
            </w:r>
          </w:p>
        </w:tc>
        <w:tc>
          <w:tcPr>
            <w:tcW w:type="dxa" w:w="239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Control completion status remains green.</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institution certifies activity that no longer covers the material process.</w:t>
            </w:r>
          </w:p>
        </w:tc>
        <w:tc>
          <w:tcPr>
            <w:tcW w:type="dxa" w:w="2995"/>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Conduct control-to-process divergence testing during and after migration.</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Temporary bridge institutionalization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Manual workarounds, shadow trackers, or interim approvals persist after transition close.</w:t>
            </w:r>
          </w:p>
        </w:tc>
        <w:tc>
          <w:tcPr>
            <w:tcW w:type="dxa" w:w="239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They keep the new process functioning and avoid disruption.</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Unreviewed provisional governance becomes permanent infrastructure.</w:t>
            </w:r>
          </w:p>
        </w:tc>
        <w:tc>
          <w:tcPr>
            <w:tcW w:type="dxa" w:w="2995"/>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Attach expiry, owner, evidence requirement, and formal adoption criteria to each bridge.</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Transformation theater</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Program reporting shows milestones, status, and completion artifacts without governance consequence review.</w:t>
            </w:r>
          </w:p>
        </w:tc>
        <w:tc>
          <w:tcPr>
            <w:tcW w:type="dxa" w:w="239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Project discipline is mistaken for governance discipline.</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Implementation finishes while accountability, evidence, and escalation remain unresolved.</w:t>
            </w:r>
          </w:p>
        </w:tc>
        <w:tc>
          <w:tcPr>
            <w:tcW w:type="dxa" w:w="2995"/>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Require governance readiness criteria separate from project delivery criteria.</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Rollback ambiguity</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change partially fails, but the institution lacks authority and evidence rules for reverting.</w:t>
            </w:r>
          </w:p>
        </w:tc>
        <w:tc>
          <w:tcPr>
            <w:tcW w:type="dxa" w:w="239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Operational teams improvise to maintain service.</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Hybrid process states create unclear ownership and evidence fragmentation.</w:t>
            </w:r>
          </w:p>
        </w:tc>
        <w:tc>
          <w:tcPr>
            <w:tcW w:type="dxa" w:w="2995"/>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Define rollback authority, acceptable interim evidence, and decision record requirements before deployment.</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Post-change validation delay</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Governance review occurs after the new process is already relied upon.</w:t>
            </w:r>
          </w:p>
        </w:tc>
        <w:tc>
          <w:tcPr>
            <w:tcW w:type="dxa" w:w="239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Operational success creates confidence that formal validation can wait.</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Exposure is created before controls, evidence, and thresholds are tested.</w:t>
            </w:r>
          </w:p>
        </w:tc>
        <w:tc>
          <w:tcPr>
            <w:tcW w:type="dxa" w:w="2995"/>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Require pre-reliance validation for material workflows or explicitly accept interim exposure.</w:t>
            </w:r>
          </w:p>
        </w:tc>
      </w:tr>
    </w:tbl>
    <w:p>
      <w:pPr>
        <w:spacing w:after="100"/>
      </w:pPr>
    </w:p>
    <w:p>
      <w:pPr>
        <w:pStyle w:val="Heading2"/>
        <w:keepNext/>
        <w:pageBreakBefore w:val="0"/>
        <w:spacing w:before="180" w:after="90"/>
      </w:pPr>
      <w:r>
        <w:rPr>
          <w:rFonts w:ascii="Aptos Display" w:hAnsi="Aptos Display" w:eastAsia="Aptos Display"/>
          <w:b/>
          <w:color w:val="17365D"/>
          <w:sz w:val="30"/>
        </w:rPr>
        <w:t>Change Survivability Requirements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728"/>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Survivability Element</w:t>
            </w:r>
          </w:p>
        </w:tc>
        <w:tc>
          <w:tcPr>
            <w:tcW w:type="dxa" w:w="2678"/>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Required Condition</w:t>
            </w:r>
          </w:p>
        </w:tc>
        <w:tc>
          <w:tcPr>
            <w:tcW w:type="dxa" w:w="2448"/>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Weak Transition Signal</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Governance Test</w:t>
            </w:r>
          </w:p>
        </w:tc>
        <w:tc>
          <w:tcPr>
            <w:tcW w:type="dxa" w:w="2909"/>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Decision Output</w:t>
            </w:r>
          </w:p>
        </w:tc>
      </w:tr>
      <w:tr>
        <w:trPr>
          <w:cantSplit/>
        </w:trPr>
        <w:tc>
          <w:tcPr>
            <w:tcW w:type="dxa" w:w="172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Authority continuity</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Decision rights remain clear as ownership, committees, vendors, or systems change.</w:t>
            </w:r>
          </w:p>
        </w:tc>
        <w:tc>
          <w:tcPr>
            <w:tcW w:type="dxa" w:w="244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New owners are assigned tasks but not exposure authority.</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Select an unresolved issue and identify who can accept residual exposure during transition.</w:t>
            </w:r>
          </w:p>
        </w:tc>
        <w:tc>
          <w:tcPr>
            <w:tcW w:type="dxa" w:w="290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Authority confirmation, delegated limits, and escalation path.</w:t>
            </w:r>
          </w:p>
        </w:tc>
      </w:tr>
      <w:tr>
        <w:trPr>
          <w:cantSplit/>
        </w:trPr>
        <w:tc>
          <w:tcPr>
            <w:tcW w:type="dxa" w:w="172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continuity</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remains traceable across pre-change, transition, and post-change periods.</w:t>
            </w:r>
          </w:p>
        </w:tc>
        <w:tc>
          <w:tcPr>
            <w:tcW w:type="dxa" w:w="244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Screenshots or exports replace lineage-aware evidence.</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Compare evidence population and field definitions before and after change.</w:t>
            </w:r>
          </w:p>
        </w:tc>
        <w:tc>
          <w:tcPr>
            <w:tcW w:type="dxa" w:w="290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bridge record, first reliable period, and limitation statement.</w:t>
            </w:r>
          </w:p>
        </w:tc>
      </w:tr>
      <w:tr>
        <w:trPr>
          <w:cantSplit/>
        </w:trPr>
        <w:tc>
          <w:tcPr>
            <w:tcW w:type="dxa" w:w="172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Control continuity</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Control objectives, scope, frequency, ownership, and exception handling remain aligned to the changed process.</w:t>
            </w:r>
          </w:p>
        </w:tc>
        <w:tc>
          <w:tcPr>
            <w:tcW w:type="dxa" w:w="244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Controls close on schedule while execution logic changed.</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Trace a sample control from objective to current process activity.</w:t>
            </w:r>
          </w:p>
        </w:tc>
        <w:tc>
          <w:tcPr>
            <w:tcW w:type="dxa" w:w="290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Control redesign, retirement, or reliance limitation decision.</w:t>
            </w:r>
          </w:p>
        </w:tc>
      </w:tr>
      <w:tr>
        <w:trPr>
          <w:cantSplit/>
        </w:trPr>
        <w:tc>
          <w:tcPr>
            <w:tcW w:type="dxa" w:w="172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Escalation continuity</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Escalation thresholds and destinations remain effective while roles and dependencies shift.</w:t>
            </w:r>
          </w:p>
        </w:tc>
        <w:tc>
          <w:tcPr>
            <w:tcW w:type="dxa" w:w="244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Issues are routed through old channels because new paths are unclear.</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Test a transition exception against current escalation authority.</w:t>
            </w:r>
          </w:p>
        </w:tc>
        <w:tc>
          <w:tcPr>
            <w:tcW w:type="dxa" w:w="290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Escalation map update and interim escalation owner.</w:t>
            </w:r>
          </w:p>
        </w:tc>
      </w:tr>
      <w:tr>
        <w:trPr>
          <w:cantSplit/>
        </w:trPr>
        <w:tc>
          <w:tcPr>
            <w:tcW w:type="dxa" w:w="172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Dependency continuity</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Critical handoffs, vendor inputs, AI routing, data feeds, and manual bridges are mapped.</w:t>
            </w:r>
          </w:p>
        </w:tc>
        <w:tc>
          <w:tcPr>
            <w:tcW w:type="dxa" w:w="244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Teams rely on undocumented bridges to keep work moving.</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Identify the dependencies required to complete a material governance decision.</w:t>
            </w:r>
          </w:p>
        </w:tc>
        <w:tc>
          <w:tcPr>
            <w:tcW w:type="dxa" w:w="290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Dependency register update and unresolved dependency treatment.</w:t>
            </w:r>
          </w:p>
        </w:tc>
      </w:tr>
      <w:tr>
        <w:trPr>
          <w:cantSplit/>
        </w:trPr>
        <w:tc>
          <w:tcPr>
            <w:tcW w:type="dxa" w:w="172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Representation continuity</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Customer, investor, partner, public verification, or oversight statements reflect current governance reality.</w:t>
            </w:r>
          </w:p>
        </w:tc>
        <w:tc>
          <w:tcPr>
            <w:tcW w:type="dxa" w:w="244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External language reuses pre-change assurance statements.</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Verify representation source evidence, effective date, and transition caveats.</w:t>
            </w:r>
          </w:p>
        </w:tc>
        <w:tc>
          <w:tcPr>
            <w:tcW w:type="dxa" w:w="290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Approved language, reliance boundary, refresh owner, and expiry.</w:t>
            </w:r>
          </w:p>
        </w:tc>
      </w:tr>
      <w:tr>
        <w:trPr>
          <w:cantSplit/>
        </w:trPr>
        <w:tc>
          <w:tcPr>
            <w:tcW w:type="dxa" w:w="172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Institutional memory continuity</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Transition rationale, assumptions, exceptions, and decisions are retained in durable records.</w:t>
            </w:r>
          </w:p>
        </w:tc>
        <w:tc>
          <w:tcPr>
            <w:tcW w:type="dxa" w:w="244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Knowledge remains in project chats, individual memory, or vendor explanations.</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Reconstruct why a transition decision was made without interviewing participants.</w:t>
            </w:r>
          </w:p>
        </w:tc>
        <w:tc>
          <w:tcPr>
            <w:tcW w:type="dxa" w:w="290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Decision history packet and ownership transfer record.</w:t>
            </w:r>
          </w:p>
        </w:tc>
      </w:tr>
    </w:tbl>
    <w:p>
      <w:pPr>
        <w:spacing w:after="100"/>
      </w:pPr>
    </w:p>
    <w:p>
      <w:pPr>
        <w:pStyle w:val="Heading2"/>
        <w:keepNext/>
        <w:pageBreakBefore w:val="0"/>
        <w:spacing w:before="180" w:after="90"/>
      </w:pPr>
      <w:r>
        <w:rPr>
          <w:rFonts w:ascii="Aptos Display" w:hAnsi="Aptos Display" w:eastAsia="Aptos Display"/>
          <w:b/>
          <w:color w:val="17365D"/>
          <w:sz w:val="30"/>
        </w:rPr>
        <w:t>Governance Migration Risks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699"/>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Migration Risk</w:t>
            </w:r>
          </w:p>
        </w:tc>
        <w:tc>
          <w:tcPr>
            <w:tcW w:type="dxa" w:w="2477"/>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Migration Context</w:t>
            </w:r>
          </w:p>
        </w:tc>
        <w:tc>
          <w:tcPr>
            <w:tcW w:type="dxa" w:w="2621"/>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Governance Exposure</w:t>
            </w:r>
          </w:p>
        </w:tc>
        <w:tc>
          <w:tcPr>
            <w:tcW w:type="dxa" w:w="2621"/>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Failure Example</w:t>
            </w:r>
          </w:p>
        </w:tc>
        <w:tc>
          <w:tcPr>
            <w:tcW w:type="dxa" w:w="2995"/>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Mitigation Requirement</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Population mismatch</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process or data set moves to a new platform, queue, or intake model.</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may omit items, duplicate records, or measure the wrong population.</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control package remains complete while new regional activity is processed in a separate queue.</w:t>
            </w:r>
          </w:p>
        </w:tc>
        <w:tc>
          <w:tcPr>
            <w:tcW w:type="dxa" w:w="2995"/>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Perform population reconciliation and document exclusions before relying on migrated evidence.</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Metric survivorship</w:t>
            </w:r>
          </w:p>
        </w:tc>
        <w:tc>
          <w:tcPr>
            <w:tcW w:type="dxa" w:w="247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Legacy dashboards remain available after source logic changes.</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Leadership relies on stable metrics that no longer describe the governed process.</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green aging metric excludes cases created through the new intake channel.</w:t>
            </w:r>
          </w:p>
        </w:tc>
        <w:tc>
          <w:tcPr>
            <w:tcW w:type="dxa" w:w="2995"/>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Validate metric lineage, source fields, and inclusion logic after migration.</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Owner mapping drift</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Roles are translated into new teams or job titles during redesign.</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Named owners exist but do not possess equivalent authority or knowledge.</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new process owner can approve workflow steps but cannot accept customer-facing exposure.</w:t>
            </w:r>
          </w:p>
        </w:tc>
        <w:tc>
          <w:tcPr>
            <w:tcW w:type="dxa" w:w="2995"/>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Map old authority to new authority, not merely old title to new title.</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Control evidence bridge failure</w:t>
            </w:r>
          </w:p>
        </w:tc>
        <w:tc>
          <w:tcPr>
            <w:tcW w:type="dxa" w:w="247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Temporary evidence bridges are used while new system evidence matures.</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Bridge evidence becomes the default without confidence review.</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manual extract becomes permanent after the automated report is delayed.</w:t>
            </w:r>
          </w:p>
        </w:tc>
        <w:tc>
          <w:tcPr>
            <w:tcW w:type="dxa" w:w="2995"/>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Define bridge owner, validation method, expiry, and retirement criteria.</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migration opacity</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status, or remediation moves between vendors or vendor tools.</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Internal teams cannot distinguish service transition from governance transition.</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New vendor status codes are treated as equivalent to prior closure states.</w:t>
            </w:r>
          </w:p>
        </w:tc>
        <w:tc>
          <w:tcPr>
            <w:tcW w:type="dxa" w:w="2995"/>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Validate status definitions, evidence formats, and internal acceptance criteria.</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Training mistaken for governance</w:t>
            </w:r>
          </w:p>
        </w:tc>
        <w:tc>
          <w:tcPr>
            <w:tcW w:type="dxa" w:w="247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Users are trained on new workflow steps and systems.</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Operational readiness is confused with authority, evidence, and escalation readiness.</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Teams know how to use the tool but not how to handle exceptions affecting governance decisions.</w:t>
            </w:r>
          </w:p>
        </w:tc>
        <w:tc>
          <w:tcPr>
            <w:tcW w:type="dxa" w:w="2995"/>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Separate user training completion from governance readiness certification.</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Dual-run ambiguity</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Old and new processes operate simultaneously during transition.</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Responsibility and evidence may split without clear reliance rules.</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An exception is closed in the old tracker while the related record remains open in the new system.</w:t>
            </w:r>
          </w:p>
        </w:tc>
        <w:tc>
          <w:tcPr>
            <w:tcW w:type="dxa" w:w="2995"/>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Define source of truth, duplicate handling, closure authority, and transition period boundaries.</w:t>
            </w:r>
          </w:p>
        </w:tc>
      </w:tr>
    </w:tbl>
    <w:p>
      <w:pPr>
        <w:spacing w:after="100"/>
      </w:pPr>
    </w:p>
    <w:p>
      <w:pPr>
        <w:pStyle w:val="Heading2"/>
        <w:keepNext/>
        <w:pageBreakBefore w:val="0"/>
        <w:spacing w:before="180" w:after="90"/>
      </w:pPr>
      <w:r>
        <w:rPr>
          <w:rFonts w:ascii="Aptos Display" w:hAnsi="Aptos Display" w:eastAsia="Aptos Display"/>
          <w:b/>
          <w:color w:val="17365D"/>
          <w:sz w:val="30"/>
        </w:rPr>
        <w:t>Authority and Evidence Transition Risks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670"/>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Transition Area</w:t>
            </w:r>
          </w:p>
        </w:tc>
        <w:tc>
          <w:tcPr>
            <w:tcW w:type="dxa" w:w="2506"/>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Change Condition</w:t>
            </w:r>
          </w:p>
        </w:tc>
        <w:tc>
          <w:tcPr>
            <w:tcW w:type="dxa" w:w="2506"/>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Authority Risk</w:t>
            </w:r>
          </w:p>
        </w:tc>
        <w:tc>
          <w:tcPr>
            <w:tcW w:type="dxa" w:w="2506"/>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Evidence Risk</w:t>
            </w:r>
          </w:p>
        </w:tc>
        <w:tc>
          <w:tcPr>
            <w:tcW w:type="dxa" w:w="305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Governance Requirement</w:t>
            </w:r>
          </w:p>
        </w:tc>
      </w:tr>
      <w:tr>
        <w:trPr>
          <w:cantSplit/>
        </w:trPr>
        <w:tc>
          <w:tcPr>
            <w:tcW w:type="dxa" w:w="16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Role reassignment</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Work moves from one owner, team, region, or function to another.</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Receiving party may execute tasks without accepting prior exposure or open exceptions.</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Prior evidence context may not transfer with the work.</w:t>
            </w:r>
          </w:p>
        </w:tc>
        <w:tc>
          <w:tcPr>
            <w:tcW w:type="dxa" w:w="305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Require authority transfer, unresolved item inventory, and evidence handover package.</w:t>
            </w:r>
          </w:p>
        </w:tc>
      </w:tr>
      <w:tr>
        <w:trPr>
          <w:cantSplit/>
        </w:trPr>
        <w:tc>
          <w:tcPr>
            <w:tcW w:type="dxa" w:w="16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Committee redesign</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forum is merged, retired, renamed, or re-scoped.</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Decision rights may be diluted or assumed by a forum without mandate.</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Minutes and action logs may not preserve prior decision history.</w:t>
            </w:r>
          </w:p>
        </w:tc>
        <w:tc>
          <w:tcPr>
            <w:tcW w:type="dxa" w:w="305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Map charter authority, quorum, open matters, and decision transfer before first new meeting.</w:t>
            </w:r>
          </w:p>
        </w:tc>
      </w:tr>
      <w:tr>
        <w:trPr>
          <w:cantSplit/>
        </w:trPr>
        <w:tc>
          <w:tcPr>
            <w:tcW w:type="dxa" w:w="16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System cutover</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generation changes source, format, field definitions, or retention behavior.</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System owner may control tooling but not reliance decisions.</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Source lineage may become discontinuous across the cutover date.</w:t>
            </w:r>
          </w:p>
        </w:tc>
        <w:tc>
          <w:tcPr>
            <w:tcW w:type="dxa" w:w="305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Define first reliable evidence date, cutover caveats, and owner of bridge evidence.</w:t>
            </w:r>
          </w:p>
        </w:tc>
      </w:tr>
      <w:tr>
        <w:trPr>
          <w:cantSplit/>
        </w:trPr>
        <w:tc>
          <w:tcPr>
            <w:tcW w:type="dxa" w:w="16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operating model shift</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Support, reporting, remediation, or evidence retrieval changes under a vendor arrangement.</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commitments may be treated as internal authority.</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Vendor-provided records may not be comparable to prior evidence.</w:t>
            </w:r>
          </w:p>
        </w:tc>
        <w:tc>
          <w:tcPr>
            <w:tcW w:type="dxa" w:w="305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Retain internal validation owner and approve equivalence or limitation of vendor evidence.</w:t>
            </w:r>
          </w:p>
        </w:tc>
      </w:tr>
      <w:tr>
        <w:trPr>
          <w:cantSplit/>
        </w:trPr>
        <w:tc>
          <w:tcPr>
            <w:tcW w:type="dxa" w:w="16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 workflow deployment</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Model-assisted routing, scoring, drafting, summarization, or recommendation enters routine workflow.</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Automation owner may not own consequences created by threshold or priority changes.</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AI-generated summaries may obscure source evidence and caveats.</w:t>
            </w:r>
          </w:p>
        </w:tc>
        <w:tc>
          <w:tcPr>
            <w:tcW w:type="dxa" w:w="305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Assign human decision authority, retain source set, and validate AI influence on governance outcomes.</w:t>
            </w:r>
          </w:p>
        </w:tc>
      </w:tr>
      <w:tr>
        <w:trPr>
          <w:cantSplit/>
        </w:trPr>
        <w:tc>
          <w:tcPr>
            <w:tcW w:type="dxa" w:w="16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Emergency transition</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temporary governance path is created to preserve operations during disruption.</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Emergency authority may exceed ordinary delegation without explicit boundary.</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may be partial, retrospective, or assembled after action.</w:t>
            </w:r>
          </w:p>
        </w:tc>
        <w:tc>
          <w:tcPr>
            <w:tcW w:type="dxa" w:w="305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Record emergency authority, exposure accepted, evidence limits, expiry, and post-event review.</w:t>
            </w:r>
          </w:p>
        </w:tc>
      </w:tr>
      <w:tr>
        <w:trPr>
          <w:cantSplit/>
        </w:trPr>
        <w:tc>
          <w:tcPr>
            <w:tcW w:type="dxa" w:w="16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External representation refresh</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Public, customer, investor, partner, or oversight materials are updated during change.</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Communications authority may not match governance decision authority.</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Statements may rely on stale or transition-limited evidence.</w:t>
            </w:r>
          </w:p>
        </w:tc>
        <w:tc>
          <w:tcPr>
            <w:tcW w:type="dxa" w:w="305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Tie external language to evidence freshness, decision owner, and transition caveats.</w:t>
            </w:r>
          </w:p>
        </w:tc>
      </w:tr>
    </w:tbl>
    <w:p>
      <w:pPr>
        <w:spacing w:after="100"/>
      </w:pPr>
    </w:p>
    <w:p>
      <w:pPr>
        <w:pStyle w:val="Heading2"/>
        <w:keepNext/>
        <w:pageBreakBefore w:val="0"/>
        <w:spacing w:before="180" w:after="90"/>
      </w:pPr>
      <w:r>
        <w:rPr>
          <w:rFonts w:ascii="Aptos Display" w:hAnsi="Aptos Display" w:eastAsia="Aptos Display"/>
          <w:b/>
          <w:color w:val="17365D"/>
          <w:sz w:val="30"/>
        </w:rPr>
        <w:t>AI-Accelerated Governance Evolution and Transition Risk</w:t>
      </w:r>
    </w:p>
    <w:p>
      <w:pPr>
        <w:spacing w:line="271" w:lineRule="auto" w:after="124"/>
      </w:pPr>
      <w:r>
        <w:rPr>
          <w:rFonts w:ascii="Aptos" w:hAnsi="Aptos" w:eastAsia="Aptos"/>
          <w:b w:val="0"/>
          <w:color w:val="2F3A4A"/>
          <w:sz w:val="20"/>
        </w:rPr>
        <w:t>AI-accelerated governance evolution occurs when AI-assisted systems enable operations to redesign, scale, classify, route, summarize, or decide faster than governance structures can recalibrate authority, evidence, control scope, and accountability. The governance concern is not limited to model behavior. The institution must understand whether AI-assisted processes have compressed transition timelines, hidden workflow migration, altered review thresholds, or created bifurcated operating models that no committee, owner, or evidence procedure has fully absorbed.</w:t>
      </w:r>
    </w:p>
    <w:p>
      <w:pPr>
        <w:spacing w:line="271" w:lineRule="auto" w:after="124"/>
      </w:pPr>
      <w:r>
        <w:rPr>
          <w:rFonts w:ascii="Aptos" w:hAnsi="Aptos" w:eastAsia="Aptos"/>
          <w:b w:val="0"/>
          <w:color w:val="2F3A4A"/>
          <w:sz w:val="20"/>
        </w:rPr>
        <w:t>Automation can make adaptation appear frictionless. A model-generated queue, summary, recommendation, or work sequence may immediately become embedded in operational practice, while governance continues to assume the prior human-reviewed path. In this condition, operational modernization outruns governance modernization. The institution may retain legacy controls while actual work is increasingly governed by automated prioritization, generated rationale, or AI-mediated dependency detection.</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786"/>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AI-Accelerated Pattern</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Operational Change</w:t>
            </w:r>
          </w:p>
        </w:tc>
        <w:tc>
          <w:tcPr>
            <w:tcW w:type="dxa" w:w="2506"/>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Governance Compression</w:t>
            </w:r>
          </w:p>
        </w:tc>
        <w:tc>
          <w:tcPr>
            <w:tcW w:type="dxa" w:w="2621"/>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Transition Risk</w:t>
            </w:r>
          </w:p>
        </w:tc>
        <w:tc>
          <w:tcPr>
            <w:tcW w:type="dxa" w:w="2822"/>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Required Control</w:t>
            </w:r>
          </w:p>
        </w:tc>
      </w:tr>
      <w:tr>
        <w:trPr>
          <w:cantSplit/>
        </w:trPr>
        <w:tc>
          <w:tcPr>
            <w:tcW w:type="dxa" w:w="178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AI-driven workflow redesign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Work is reclassified, routed, grouped, or sequenced by model-assisted logic.</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Process redesign occurs through tool configuration rather than formal governance review.</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Governance may not know when material thresholds changed.</w:t>
            </w:r>
          </w:p>
        </w:tc>
        <w:tc>
          <w:tcPr>
            <w:tcW w:type="dxa" w:w="2822"/>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Inventory workflow logic changes and test routing outcomes against governance materiality.</w:t>
            </w:r>
          </w:p>
        </w:tc>
      </w:tr>
      <w:tr>
        <w:trPr>
          <w:cantSplit/>
        </w:trPr>
        <w:tc>
          <w:tcPr>
            <w:tcW w:type="dxa" w:w="178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AI-assisted operational scaling</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Volume increases because AI tools reduce manual review or preparation burden.</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Throughput expands before oversight cadence and evidence review capacity scale.</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Low-friction growth creates unreviewed populations and exception accumulation.</w:t>
            </w:r>
          </w:p>
        </w:tc>
        <w:tc>
          <w:tcPr>
            <w:tcW w:type="dxa" w:w="2822"/>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Trigger governance capacity review when AI increases volume, scope, or decision velocity.</w:t>
            </w:r>
          </w:p>
        </w:tc>
      </w:tr>
      <w:tr>
        <w:trPr>
          <w:cantSplit/>
        </w:trPr>
        <w:tc>
          <w:tcPr>
            <w:tcW w:type="dxa" w:w="178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Automation-induced governance lag</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Operational teams adopt AI outputs while controls still reference prior manual process steps.</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Governance documents remain current in form but obsolete in function.</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Controls pass while no longer testing the real decision path.</w:t>
            </w:r>
          </w:p>
        </w:tc>
        <w:tc>
          <w:tcPr>
            <w:tcW w:type="dxa" w:w="2822"/>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Recalibrate controls to actual AI-influenced workflow and retire obsolete evidence requirements.</w:t>
            </w:r>
          </w:p>
        </w:tc>
      </w:tr>
      <w:tr>
        <w:trPr>
          <w:cantSplit/>
        </w:trPr>
        <w:tc>
          <w:tcPr>
            <w:tcW w:type="dxa" w:w="178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AI-mediated process migration</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Work moves from human triage to generated categorization, scoring, or summary-based routing.</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Migration is treated as a feature release rather than governance transition.</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Authority and evidence shift without cutover controls.</w:t>
            </w:r>
          </w:p>
        </w:tc>
        <w:tc>
          <w:tcPr>
            <w:tcW w:type="dxa" w:w="2822"/>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Define cutover date, source records, human validation owner, and transition evidence bridge.</w:t>
            </w:r>
          </w:p>
        </w:tc>
      </w:tr>
      <w:tr>
        <w:trPr>
          <w:cantSplit/>
        </w:trPr>
        <w:tc>
          <w:tcPr>
            <w:tcW w:type="dxa" w:w="178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Institutional learning lag</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Personnel become dependent on generated instructions or summaries before understanding the changed process.</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Training focuses on tool usage rather than governance consequence.</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When automation fails, teams cannot reconstruct manual process logic.</w:t>
            </w:r>
          </w:p>
        </w:tc>
        <w:tc>
          <w:tcPr>
            <w:tcW w:type="dxa" w:w="2822"/>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Maintain human-readable process maps and conduct failover exercises for material workflows.</w:t>
            </w:r>
          </w:p>
        </w:tc>
      </w:tr>
      <w:tr>
        <w:trPr>
          <w:cantSplit/>
        </w:trPr>
        <w:tc>
          <w:tcPr>
            <w:tcW w:type="dxa" w:w="178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Governance threshold drift</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Model scores, classifications, or recommendations alter which matters escalate or receive enhanced review.</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Threshold change is embedded in prioritization rather than policy.</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Material matters may be under-reviewed because they appear routine to the model.</w:t>
            </w:r>
          </w:p>
        </w:tc>
        <w:tc>
          <w:tcPr>
            <w:tcW w:type="dxa" w:w="2822"/>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Monitor model-influenced threshold behavior and sample suppressed or low-scored items.</w:t>
            </w:r>
          </w:p>
        </w:tc>
      </w:tr>
      <w:tr>
        <w:trPr>
          <w:cantSplit/>
        </w:trPr>
        <w:tc>
          <w:tcPr>
            <w:tcW w:type="dxa" w:w="178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AI-driven governance bifurcation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Some teams use AI-assisted workflows while others retain legacy practices.</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Two governance realities exist under one documented model.</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comparability and authority expectations diverge across teams.</w:t>
            </w:r>
          </w:p>
        </w:tc>
        <w:tc>
          <w:tcPr>
            <w:tcW w:type="dxa" w:w="2822"/>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Document AI-use boundaries, compare outcomes, and define transition path to unified governance.</w:t>
            </w:r>
          </w:p>
        </w:tc>
      </w:tr>
      <w:tr>
        <w:trPr>
          <w:cantSplit/>
        </w:trPr>
        <w:tc>
          <w:tcPr>
            <w:tcW w:type="dxa" w:w="178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Accelerated dependency evolution</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 tools connect tasks, reminders, owner suggestions, and dependencies automatically.</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Coordination dependencies grow faster than dependency mapping.</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Failure of an automated link affects multiple governance processes at once.</w:t>
            </w:r>
          </w:p>
        </w:tc>
        <w:tc>
          <w:tcPr>
            <w:tcW w:type="dxa" w:w="2822"/>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Map automation-trigger chains and assign continuity owners for model-mediated dependencies.</w:t>
            </w:r>
          </w:p>
        </w:tc>
      </w:tr>
    </w:tbl>
    <w:p>
      <w:pPr>
        <w:spacing w:after="100"/>
      </w:pPr>
    </w:p>
    <w:p>
      <w:pPr>
        <w:pStyle w:val="Heading2"/>
        <w:keepNext/>
        <w:pageBreakBefore w:val="0"/>
        <w:spacing w:before="180" w:after="90"/>
      </w:pPr>
      <w:r>
        <w:rPr>
          <w:rFonts w:ascii="Aptos Display" w:hAnsi="Aptos Display" w:eastAsia="Aptos Display"/>
          <w:b/>
          <w:color w:val="17365D"/>
          <w:sz w:val="30"/>
        </w:rPr>
        <w:t>Adaptation Debt Indicators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670"/>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Indicator</w:t>
            </w:r>
          </w:p>
        </w:tc>
        <w:tc>
          <w:tcPr>
            <w:tcW w:type="dxa" w:w="2621"/>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Observed Condition</w:t>
            </w:r>
          </w:p>
        </w:tc>
        <w:tc>
          <w:tcPr>
            <w:tcW w:type="dxa" w:w="2506"/>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Debt Mechanism</w:t>
            </w:r>
          </w:p>
        </w:tc>
        <w:tc>
          <w:tcPr>
            <w:tcW w:type="dxa" w:w="2621"/>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Governance Consequence</w:t>
            </w:r>
          </w:p>
        </w:tc>
        <w:tc>
          <w:tcPr>
            <w:tcW w:type="dxa" w:w="2966"/>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Resolution Path</w:t>
            </w:r>
          </w:p>
        </w:tc>
      </w:tr>
      <w:tr>
        <w:trPr>
          <w:cantSplit/>
        </w:trPr>
        <w:tc>
          <w:tcPr>
            <w:tcW w:type="dxa" w:w="16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Recurring temporary exceptions</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same transition exception is extended across cycles with minor wording changes.</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organization preserves continuity by renewing temporary tolerance.</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Temporary governance becomes permanent without authority review.</w:t>
            </w:r>
          </w:p>
        </w:tc>
        <w:tc>
          <w:tcPr>
            <w:tcW w:type="dxa" w:w="296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Require expiration, owner acceptance, and redesign decision after recurrence threshold.</w:t>
            </w:r>
          </w:p>
        </w:tc>
      </w:tr>
      <w:tr>
        <w:trPr>
          <w:cantSplit/>
        </w:trPr>
        <w:tc>
          <w:tcPr>
            <w:tcW w:type="dxa" w:w="16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Manual bridge dependence</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Teams rely on spreadsheets, reconciliations, copied data, or informal trackers after change close.</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and coordination remain outside the intended governance architecture.</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formal model cannot operate without undocumented support.</w:t>
            </w:r>
          </w:p>
        </w:tc>
        <w:tc>
          <w:tcPr>
            <w:tcW w:type="dxa" w:w="296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Formalize, automate, retire, or risk-accept the bridge with explicit owner.</w:t>
            </w:r>
          </w:p>
        </w:tc>
      </w:tr>
      <w:tr>
        <w:trPr>
          <w:cantSplit/>
        </w:trPr>
        <w:tc>
          <w:tcPr>
            <w:tcW w:type="dxa" w:w="16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Legacy committee reliance</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Old forums continue to review matters after authority moved to a new operating structure.</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Familiar cadence substitutes for current mandate.</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Issues receive attention without disposition authority.</w:t>
            </w:r>
          </w:p>
        </w:tc>
        <w:tc>
          <w:tcPr>
            <w:tcW w:type="dxa" w:w="296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Recharter, retire, or limit legacy forums and transfer open matters.</w:t>
            </w:r>
          </w:p>
        </w:tc>
      </w:tr>
      <w:tr>
        <w:trPr>
          <w:cantSplit/>
        </w:trPr>
        <w:tc>
          <w:tcPr>
            <w:tcW w:type="dxa" w:w="16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Deferred control update</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Controls remain unchanged until the next annual or scheduled review despite known workflow change.</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Calendar-driven governance lags behind reality-driven change.</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and testing cover a prior process state.</w:t>
            </w:r>
          </w:p>
        </w:tc>
        <w:tc>
          <w:tcPr>
            <w:tcW w:type="dxa" w:w="296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Use change-triggered recalibration for control scope, owner, evidence, and frequency.</w:t>
            </w:r>
          </w:p>
        </w:tc>
      </w:tr>
      <w:tr>
        <w:trPr>
          <w:cantSplit/>
        </w:trPr>
        <w:tc>
          <w:tcPr>
            <w:tcW w:type="dxa" w:w="16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Project-close optimism</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Transformation status reports show completion while governance gaps remain open.</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Operational delivery milestones are treated as governance readiness.</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Reliance begins before authority, evidence, and escalation are stable.</w:t>
            </w:r>
          </w:p>
        </w:tc>
        <w:tc>
          <w:tcPr>
            <w:tcW w:type="dxa" w:w="296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Add governance readiness gates and post-change validation before full reliance.</w:t>
            </w:r>
          </w:p>
        </w:tc>
      </w:tr>
      <w:tr>
        <w:trPr>
          <w:cantSplit/>
        </w:trPr>
        <w:tc>
          <w:tcPr>
            <w:tcW w:type="dxa" w:w="16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Inherited assumption stacking</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New process design layers onto old assumptions because prior controls were never revalidated.</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Historical governance sediments into the new model.</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institution carries obsolete obligations and misses new exposure.</w:t>
            </w:r>
          </w:p>
        </w:tc>
        <w:tc>
          <w:tcPr>
            <w:tcW w:type="dxa" w:w="296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Review assumptions carried forward and document accepted, retired, or redesigned elements.</w:t>
            </w:r>
          </w:p>
        </w:tc>
      </w:tr>
      <w:tr>
        <w:trPr>
          <w:cantSplit/>
        </w:trPr>
        <w:tc>
          <w:tcPr>
            <w:tcW w:type="dxa" w:w="16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 workaround normalization</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Teams use AI to summarize, route, draft, or classify outside approved governance design.</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Automation absorbs governance friction before the model is reviewed.</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Unmanaged AI use changes decisions while appearing operationally helpful.</w:t>
            </w:r>
          </w:p>
        </w:tc>
        <w:tc>
          <w:tcPr>
            <w:tcW w:type="dxa" w:w="296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Route AI workaround use to governance inventory and materiality assessment.</w:t>
            </w:r>
          </w:p>
        </w:tc>
      </w:tr>
    </w:tbl>
    <w:p>
      <w:pPr>
        <w:spacing w:after="100"/>
      </w:pPr>
    </w:p>
    <w:p>
      <w:pPr>
        <w:pStyle w:val="Heading2"/>
        <w:keepNext/>
        <w:pageBreakBefore w:val="0"/>
        <w:spacing w:before="180" w:after="90"/>
      </w:pPr>
      <w:r>
        <w:rPr>
          <w:rFonts w:ascii="Aptos Display" w:hAnsi="Aptos Display" w:eastAsia="Aptos Display"/>
          <w:b/>
          <w:color w:val="17365D"/>
          <w:sz w:val="30"/>
        </w:rPr>
        <w:t>Legacy Governance Persistence Patterns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699"/>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Persistence Pattern</w:t>
            </w:r>
          </w:p>
        </w:tc>
        <w:tc>
          <w:tcPr>
            <w:tcW w:type="dxa" w:w="2506"/>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Why It Persists</w:t>
            </w:r>
          </w:p>
        </w:tc>
        <w:tc>
          <w:tcPr>
            <w:tcW w:type="dxa" w:w="2506"/>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What Changed Around It</w:t>
            </w:r>
          </w:p>
        </w:tc>
        <w:tc>
          <w:tcPr>
            <w:tcW w:type="dxa" w:w="2678"/>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Hidden Exposure</w:t>
            </w:r>
          </w:p>
        </w:tc>
        <w:tc>
          <w:tcPr>
            <w:tcW w:type="dxa" w:w="2966"/>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Recalibration Action</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Control fossilization</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control has long history, stable owners, and favorable completion rates.</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underlying workflow, population, or system evidence changed.</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mature-looking control no longer governs the material activity.</w:t>
            </w:r>
          </w:p>
        </w:tc>
        <w:tc>
          <w:tcPr>
            <w:tcW w:type="dxa" w:w="296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Trace control objective to current process and retire or redesign stale control elements.</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Committee inertia</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forum is familiar, executive-visible, and administratively established.</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Decision authority moved to another forum, function, or operating leader.</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committee creates visibility without power to resolve exposure.</w:t>
            </w:r>
          </w:p>
        </w:tc>
        <w:tc>
          <w:tcPr>
            <w:tcW w:type="dxa" w:w="296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Compare charter authority to actual decision paths and reassign mandate.</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Metric carry-forward</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Reporting continuity is valued during transformation.</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Source fields, workflow timing, or population inclusion changed.</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Trends appear stable because measurement retained old assumptions.</w:t>
            </w:r>
          </w:p>
        </w:tc>
        <w:tc>
          <w:tcPr>
            <w:tcW w:type="dxa" w:w="296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Rebaseline metrics and disclose comparability limitations across transition.</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Policy survivorship</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Policy language remains broad enough to appear applicable.</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Process practice, tooling, and escalation behavior diverged.</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Policy existence masks operational nonalignment.</w:t>
            </w:r>
          </w:p>
        </w:tc>
        <w:tc>
          <w:tcPr>
            <w:tcW w:type="dxa" w:w="296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Validate policy-to-practice alignment and add transition-specific governance requirements.</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Ownership title mapping</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Old role titles are mapped to new titles without authority analysis.</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Decision rights, resource control, and exposure ownership shifted.</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Named owner lacks power to make material governance decisions.</w:t>
            </w:r>
          </w:p>
        </w:tc>
        <w:tc>
          <w:tcPr>
            <w:tcW w:type="dxa" w:w="296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Map authority, not only title, and record delegated limits.</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Inherited process survivorship</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Legacy process steps are retained because no explicit retirement decision was made.</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Operational teams route around old steps while documentation remains unchanged.</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Governance records reflect process history rather than current process reality.</w:t>
            </w:r>
          </w:p>
        </w:tc>
        <w:tc>
          <w:tcPr>
            <w:tcW w:type="dxa" w:w="296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Require retirement decisions for unused governance steps and update evidence expectations.</w:t>
            </w:r>
          </w:p>
        </w:tc>
      </w:tr>
    </w:tbl>
    <w:p>
      <w:pPr>
        <w:spacing w:after="100"/>
      </w:pPr>
    </w:p>
    <w:p>
      <w:pPr>
        <w:pStyle w:val="Heading2"/>
        <w:keepNext/>
        <w:pageBreakBefore w:val="0"/>
        <w:spacing w:before="180" w:after="90"/>
      </w:pPr>
      <w:r>
        <w:rPr>
          <w:rFonts w:ascii="Aptos Display" w:hAnsi="Aptos Display" w:eastAsia="Aptos Display"/>
          <w:b/>
          <w:color w:val="17365D"/>
          <w:sz w:val="30"/>
        </w:rPr>
        <w:t>Governance Recalibration Triggers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642"/>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Trigger</w:t>
            </w:r>
          </w:p>
        </w:tc>
        <w:tc>
          <w:tcPr>
            <w:tcW w:type="dxa" w:w="2621"/>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Changed Condition</w:t>
            </w:r>
          </w:p>
        </w:tc>
        <w:tc>
          <w:tcPr>
            <w:tcW w:type="dxa" w:w="2650"/>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Governance Element Affected</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Escalation Threshold</w:t>
            </w:r>
          </w:p>
        </w:tc>
        <w:tc>
          <w:tcPr>
            <w:tcW w:type="dxa" w:w="2880"/>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Required Output</w:t>
            </w:r>
          </w:p>
        </w:tc>
      </w:tr>
      <w:tr>
        <w:trPr>
          <w:cantSplit/>
        </w:trPr>
        <w:tc>
          <w:tcPr>
            <w:tcW w:type="dxa" w:w="1642"/>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Workflow population changes</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New intake, geography, product, customer segment, queue, or business line enters the governed process.</w:t>
            </w:r>
          </w:p>
        </w:tc>
        <w:tc>
          <w:tcPr>
            <w:tcW w:type="dxa" w:w="265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Control scope, evidence population, metric interpretation, and owner accountability.</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Population change affects material decision, attestation, or external reliance.</w:t>
            </w:r>
          </w:p>
        </w:tc>
        <w:tc>
          <w:tcPr>
            <w:tcW w:type="dxa" w:w="288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Updated population definition, evidence source, owner acceptance, and reliance limitation if needed.</w:t>
            </w:r>
          </w:p>
        </w:tc>
      </w:tr>
      <w:tr>
        <w:trPr>
          <w:cantSplit/>
        </w:trPr>
        <w:tc>
          <w:tcPr>
            <w:tcW w:type="dxa" w:w="1642"/>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Authority model changes</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Roles, committees, executives, or vendors gain or lose decision rights.</w:t>
            </w:r>
          </w:p>
        </w:tc>
        <w:tc>
          <w:tcPr>
            <w:tcW w:type="dxa" w:w="265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Approval hierarchy, escalation path, residual exposure owner, and committee mandate.</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Decision consequence exceeds newly mapped authority or no owner can accept exposure.</w:t>
            </w:r>
          </w:p>
        </w:tc>
        <w:tc>
          <w:tcPr>
            <w:tcW w:type="dxa" w:w="288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Authority map, delegation boundary, unresolved issue transfer, and decision record.</w:t>
            </w:r>
          </w:p>
        </w:tc>
      </w:tr>
      <w:tr>
        <w:trPr>
          <w:cantSplit/>
        </w:trPr>
        <w:tc>
          <w:tcPr>
            <w:tcW w:type="dxa" w:w="1642"/>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source changes</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System, report, export, vendor artifact, AI summary, or manual evidence bridge changes.</w:t>
            </w:r>
          </w:p>
        </w:tc>
        <w:tc>
          <w:tcPr>
            <w:tcW w:type="dxa" w:w="265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lineage, sufficiency, freshness, and reconstruction capability.</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supports external reliance, material closure, or executive decision.</w:t>
            </w:r>
          </w:p>
        </w:tc>
        <w:tc>
          <w:tcPr>
            <w:tcW w:type="dxa" w:w="288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equivalence assessment, bridge period, first reliable date, and caveats.</w:t>
            </w:r>
          </w:p>
        </w:tc>
      </w:tr>
      <w:tr>
        <w:trPr>
          <w:cantSplit/>
        </w:trPr>
        <w:tc>
          <w:tcPr>
            <w:tcW w:type="dxa" w:w="1642"/>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 influence changes</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 begins or materially changes routing, scoring, summarizing, drafting, or recommending.</w:t>
            </w:r>
          </w:p>
        </w:tc>
        <w:tc>
          <w:tcPr>
            <w:tcW w:type="dxa" w:w="265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Review threshold, work allocation, evidence interpretation, and decision confidence.</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 output affects escalation, approval, closure, or representation.</w:t>
            </w:r>
          </w:p>
        </w:tc>
        <w:tc>
          <w:tcPr>
            <w:tcW w:type="dxa" w:w="288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 influence record, validation owner, threshold impact test, and fallback procedure.</w:t>
            </w:r>
          </w:p>
        </w:tc>
      </w:tr>
      <w:tr>
        <w:trPr>
          <w:cantSplit/>
        </w:trPr>
        <w:tc>
          <w:tcPr>
            <w:tcW w:type="dxa" w:w="1642"/>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operating assumption changes</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Provider support model, tool, account team, evidence format, or response SLA changes.</w:t>
            </w:r>
          </w:p>
        </w:tc>
        <w:tc>
          <w:tcPr>
            <w:tcW w:type="dxa" w:w="265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Dependency, evidence interpretation, remediation sequencing, and continuity plan.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Internal governance relies on vendor output for material decision or assurance.</w:t>
            </w:r>
          </w:p>
        </w:tc>
        <w:tc>
          <w:tcPr>
            <w:tcW w:type="dxa" w:w="288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equivalence review, internal validation owner, and reliance boundary.</w:t>
            </w:r>
          </w:p>
        </w:tc>
      </w:tr>
      <w:tr>
        <w:trPr>
          <w:cantSplit/>
        </w:trPr>
        <w:tc>
          <w:tcPr>
            <w:tcW w:type="dxa" w:w="1642"/>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Exception recurrence exceeds tolerance</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Temporary or transition exceptions repeat, expand, or persist beyond expected period.</w:t>
            </w:r>
          </w:p>
        </w:tc>
        <w:tc>
          <w:tcPr>
            <w:tcW w:type="dxa" w:w="265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Control design, authority acceptance, escalation cadence, and remediation owner.</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Exception recurrence indicates structural rather than temporary condition.</w:t>
            </w:r>
          </w:p>
        </w:tc>
        <w:tc>
          <w:tcPr>
            <w:tcW w:type="dxa" w:w="288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Redesign decision, accepted residual exposure, expiry, or formal governance change.</w:t>
            </w:r>
          </w:p>
        </w:tc>
      </w:tr>
      <w:tr>
        <w:trPr>
          <w:cantSplit/>
        </w:trPr>
        <w:tc>
          <w:tcPr>
            <w:tcW w:type="dxa" w:w="1642"/>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External reliance timing changes</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Customer, partner, investor, public verification, or oversight materials require updated governance representation.</w:t>
            </w:r>
          </w:p>
        </w:tc>
        <w:tc>
          <w:tcPr>
            <w:tcW w:type="dxa" w:w="265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freshness, decision authority, representation language, and dependency closure.</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Representation depends on transition-limited or stale governance state.</w:t>
            </w:r>
          </w:p>
        </w:tc>
        <w:tc>
          <w:tcPr>
            <w:tcW w:type="dxa" w:w="288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Approved representation, effective date, source evidence, caveats, and refresh owner.</w:t>
            </w:r>
          </w:p>
        </w:tc>
      </w:tr>
    </w:tbl>
    <w:p>
      <w:pPr>
        <w:spacing w:after="100"/>
      </w:pPr>
    </w:p>
    <w:p>
      <w:pPr>
        <w:pStyle w:val="Heading2"/>
        <w:keepNext/>
        <w:pageBreakBefore w:val="0"/>
        <w:spacing w:before="180" w:after="90"/>
      </w:pPr>
      <w:r>
        <w:rPr>
          <w:rFonts w:ascii="Aptos Display" w:hAnsi="Aptos Display" w:eastAsia="Aptos Display"/>
          <w:b/>
          <w:color w:val="17365D"/>
          <w:sz w:val="30"/>
        </w:rPr>
        <w:t>Transition-State Governance Controls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699"/>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Control</w:t>
            </w:r>
          </w:p>
        </w:tc>
        <w:tc>
          <w:tcPr>
            <w:tcW w:type="dxa" w:w="2534"/>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Purpose During Change</w:t>
            </w:r>
          </w:p>
        </w:tc>
        <w:tc>
          <w:tcPr>
            <w:tcW w:type="dxa" w:w="2678"/>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Required Evidence</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Failure if Absent</w:t>
            </w:r>
          </w:p>
        </w:tc>
        <w:tc>
          <w:tcPr>
            <w:tcW w:type="dxa" w:w="2880"/>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Exit Condition</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Transition authority register</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Identifies who can decide, defer, approve, escalate, or accept exposure during change.</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Role list, delegated limits, committee mandate, executive authority, and effective dates.</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Operational teams make de facto decisions without authority continuity.</w:t>
            </w:r>
          </w:p>
        </w:tc>
        <w:tc>
          <w:tcPr>
            <w:tcW w:type="dxa" w:w="288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Steady-state authority map approved and open transition decisions transferred.</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bridge record</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Preserves traceability while source systems, reports, or evidence owners change.</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Old source, new source, conversion logic, bridge owner, validation test, and caveats.</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packages become discontinuous or unreconstructable.</w:t>
            </w:r>
          </w:p>
        </w:tc>
        <w:tc>
          <w:tcPr>
            <w:tcW w:type="dxa" w:w="288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New evidence source validated and reliance date established.</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Control migration inventory</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Tracks controls being retained, redesigned, retired, automated, or deferred.</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Control objective, old execution, new execution, population, owner, exception logic, and decision.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Legacy controls survive by default or new controls launch without objective alignment.</w:t>
            </w:r>
          </w:p>
        </w:tc>
        <w:tc>
          <w:tcPr>
            <w:tcW w:type="dxa" w:w="288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Control set reconciled to current process and residual gaps accepted or remediated.</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Open exposure transfer log</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Ensures unresolved issues, exceptions, and dependencies do not disappear during transition.</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Issue owner, prior rationale, evidence, residual exposure, deadline, and new owner acknowledgement.</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Exposure is inherited without institutional memory.</w:t>
            </w:r>
          </w:p>
        </w:tc>
        <w:tc>
          <w:tcPr>
            <w:tcW w:type="dxa" w:w="288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All open items assigned, closed, escalated, or accepted by authority.</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Transition dependency map</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Identifies cross-functional, vendor, data, AI, staffing, and timing dependencies affected by change.</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Dependency owner, failure consequence, timing sensitivity, fallback, and escalation path.</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Change succeeds locally while aggregate governance dependency fails.</w:t>
            </w:r>
          </w:p>
        </w:tc>
        <w:tc>
          <w:tcPr>
            <w:tcW w:type="dxa" w:w="288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Dependencies either stabilized, redesigned, retired, or accepted.</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Representation hold point</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Prevents external reliance before governance state is sufficiently current.</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Approved language, evidence date, dependency closure status, owner approval, and caveats.</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External statements overstate governance maturity during transition.</w:t>
            </w:r>
          </w:p>
        </w:tc>
        <w:tc>
          <w:tcPr>
            <w:tcW w:type="dxa" w:w="288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Representation updated after evidence and authority are confirmed.</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Post-change validation review</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Tests whether governance reality matches the intended post-change model.</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Sample tests, evidence comparison, owner interviews, escalation simulation, and exception review.</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Project closure is mistaken for governance closure.</w:t>
            </w:r>
          </w:p>
        </w:tc>
        <w:tc>
          <w:tcPr>
            <w:tcW w:type="dxa" w:w="288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Validation findings resolved or accepted with owner and monitoring plan.</w:t>
            </w:r>
          </w:p>
        </w:tc>
      </w:tr>
    </w:tbl>
    <w:p>
      <w:pPr>
        <w:spacing w:after="100"/>
      </w:pPr>
    </w:p>
    <w:p>
      <w:pPr>
        <w:pStyle w:val="Heading2"/>
        <w:keepNext/>
        <w:pageBreakBefore w:val="0"/>
        <w:spacing w:before="180" w:after="90"/>
      </w:pPr>
      <w:r>
        <w:rPr>
          <w:rFonts w:ascii="Aptos Display" w:hAnsi="Aptos Display" w:eastAsia="Aptos Display"/>
          <w:b/>
          <w:color w:val="17365D"/>
          <w:sz w:val="30"/>
        </w:rPr>
        <w:t>Change-Related Accountability Failures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699"/>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Failure</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Change Setting</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Accountability Distortion</w:t>
            </w:r>
          </w:p>
        </w:tc>
        <w:tc>
          <w:tcPr>
            <w:tcW w:type="dxa" w:w="2621"/>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Institutional Exposure</w:t>
            </w:r>
          </w:p>
        </w:tc>
        <w:tc>
          <w:tcPr>
            <w:tcW w:type="dxa" w:w="2909"/>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Required Correction</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Execution-owner substitution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project or operations owner completes implementation tasks.</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Implementation responsibility is mistaken for governance decision authority.</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implemented state is relied upon without accepted residual exposure.</w:t>
            </w:r>
          </w:p>
        </w:tc>
        <w:tc>
          <w:tcPr>
            <w:tcW w:type="dxa" w:w="290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Separate delivery owner from decision owner and record reliance approval.</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Legacy-owner abandonment</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Prior owner believes responsibility ended when the process moved.</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No one confirms which open issues transferred and which remain with legacy owner.</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Historical exceptions lose accountable owner.</w:t>
            </w:r>
          </w:p>
        </w:tc>
        <w:tc>
          <w:tcPr>
            <w:tcW w:type="dxa" w:w="290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Require formal unresolved matter transfer with receiving owner acknowledgement.</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Committee ambiguity</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Old and new governance forums both discuss the changed process.</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Each forum assumes the other owns final disposition.</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Review occurs without closure authority.</w:t>
            </w:r>
          </w:p>
        </w:tc>
        <w:tc>
          <w:tcPr>
            <w:tcW w:type="dxa" w:w="290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Designate decision forum, input forums, and escalation destination during transition.</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accountability laundering</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recommendations shape transition decisions.</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External advice is treated as internal judgment.</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institution relies on vendor framing without accountable internal acceptance.</w:t>
            </w:r>
          </w:p>
        </w:tc>
        <w:tc>
          <w:tcPr>
            <w:tcW w:type="dxa" w:w="290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Validate vendor assumptions and record internal approval or rejection.</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 attribution ambiguity</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Generated summaries, routing, or recommendations influence transition decisions.</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Model contribution disappears into human decision artifacts.</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Later review cannot determine whether judgment or automation drove the outcome.</w:t>
            </w:r>
          </w:p>
        </w:tc>
        <w:tc>
          <w:tcPr>
            <w:tcW w:type="dxa" w:w="290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Retain AI source set, output, reviewer edits, and human decision owner.</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Resource authority gap</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Change requires funding, staffing, tooling, or remediation capacity.</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Process owners are accountable for outcomes without authority over resources.</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Unfunded gaps persist as silent risk acceptance.</w:t>
            </w:r>
          </w:p>
        </w:tc>
        <w:tc>
          <w:tcPr>
            <w:tcW w:type="dxa" w:w="290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Escalate resource-dependent exposure to budget or executive authority.</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Retrospective ratification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Formal approval is gathered after operational commitment.</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Approval record suggests governance preceded reliance.</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true sequence of exposure creation is obscured.</w:t>
            </w:r>
          </w:p>
        </w:tc>
        <w:tc>
          <w:tcPr>
            <w:tcW w:type="dxa" w:w="290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Label ratification, record options lost, and require future trigger controls.</w:t>
            </w:r>
          </w:p>
        </w:tc>
      </w:tr>
    </w:tbl>
    <w:p>
      <w:pPr>
        <w:spacing w:after="100"/>
      </w:pPr>
    </w:p>
    <w:p>
      <w:pPr>
        <w:pStyle w:val="Heading2"/>
        <w:keepNext/>
        <w:pageBreakBefore w:val="0"/>
        <w:spacing w:before="180" w:after="90"/>
      </w:pPr>
      <w:r>
        <w:rPr>
          <w:rFonts w:ascii="Aptos Display" w:hAnsi="Aptos Display" w:eastAsia="Aptos Display"/>
          <w:b/>
          <w:color w:val="17365D"/>
          <w:sz w:val="30"/>
        </w:rPr>
        <w:t>Governance Modernization Tradeoff Patterns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786"/>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Modernization Tradeoff</w:t>
            </w:r>
          </w:p>
        </w:tc>
        <w:tc>
          <w:tcPr>
            <w:tcW w:type="dxa" w:w="2506"/>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Operational Benefit</w:t>
            </w:r>
          </w:p>
        </w:tc>
        <w:tc>
          <w:tcPr>
            <w:tcW w:type="dxa" w:w="2506"/>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Governance Cost</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Risk if Unmanaged</w:t>
            </w:r>
          </w:p>
        </w:tc>
        <w:tc>
          <w:tcPr>
            <w:tcW w:type="dxa" w:w="2880"/>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Balancing Mechanism</w:t>
            </w:r>
          </w:p>
        </w:tc>
      </w:tr>
      <w:tr>
        <w:trPr>
          <w:cantSplit/>
        </w:trPr>
        <w:tc>
          <w:tcPr>
            <w:tcW w:type="dxa" w:w="178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Speed versus traceability</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New workflows, tools, or AI assistance reduce cycle time.</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Decision rationale and source evidence may be compressed or omitted.</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Fast closure becomes difficult to reconstruct.</w:t>
            </w:r>
          </w:p>
        </w:tc>
        <w:tc>
          <w:tcPr>
            <w:tcW w:type="dxa" w:w="288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Require traceability checkpoints for material decisions and evidence packages.</w:t>
            </w:r>
          </w:p>
        </w:tc>
      </w:tr>
      <w:tr>
        <w:trPr>
          <w:cantSplit/>
        </w:trPr>
        <w:tc>
          <w:tcPr>
            <w:tcW w:type="dxa" w:w="178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Centralization versus local legitimacy</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Shared platforms or enterprise forums create consistent governance architecture.</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Local process nuance and dependency knowledge may be lost.</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Uniform control design misses material local variation.</w:t>
            </w:r>
          </w:p>
        </w:tc>
        <w:tc>
          <w:tcPr>
            <w:tcW w:type="dxa" w:w="288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Combine central standards with local applicability assessments.</w:t>
            </w:r>
          </w:p>
        </w:tc>
      </w:tr>
      <w:tr>
        <w:trPr>
          <w:cantSplit/>
        </w:trPr>
        <w:tc>
          <w:tcPr>
            <w:tcW w:type="dxa" w:w="178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Automation versus human understanding</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Automated routing, evidence generation, or summarization reduces manual burden.</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Personnel may lose the ability to explain or operate the process without automation.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Failover becomes improvisational and evidence review weakens.</w:t>
            </w:r>
          </w:p>
        </w:tc>
        <w:tc>
          <w:tcPr>
            <w:tcW w:type="dxa" w:w="288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Maintain human-readable process logic and periodic manual reconstruction tests.</w:t>
            </w:r>
          </w:p>
        </w:tc>
      </w:tr>
      <w:tr>
        <w:trPr>
          <w:cantSplit/>
        </w:trPr>
        <w:tc>
          <w:tcPr>
            <w:tcW w:type="dxa" w:w="178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Continuity versus redesign</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Carrying forward legacy controls minimizes disruption.</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Old assumptions may survive beyond relevance.</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Governance looks stable while operating reality changes.</w:t>
            </w:r>
          </w:p>
        </w:tc>
        <w:tc>
          <w:tcPr>
            <w:tcW w:type="dxa" w:w="288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Use carry-forward decisions with explicit assumption review and expiry.</w:t>
            </w:r>
          </w:p>
        </w:tc>
      </w:tr>
      <w:tr>
        <w:trPr>
          <w:cantSplit/>
        </w:trPr>
        <w:tc>
          <w:tcPr>
            <w:tcW w:type="dxa" w:w="178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Flexibility versus authority clarity</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Temporary governance allows operations to adapt under pressure.</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Flexible practices can blur approval, escalation, and residual exposure ownership.</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Temporary decision paths become ambiguous permanent authority.</w:t>
            </w:r>
          </w:p>
        </w:tc>
        <w:tc>
          <w:tcPr>
            <w:tcW w:type="dxa" w:w="288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Define temporary authority scope, owner, expiration, and post-use validation.</w:t>
            </w:r>
          </w:p>
        </w:tc>
      </w:tr>
      <w:tr>
        <w:trPr>
          <w:cantSplit/>
        </w:trPr>
        <w:tc>
          <w:tcPr>
            <w:tcW w:type="dxa" w:w="178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Standardization versus transition timing</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Common control models simplify oversight after transformation.</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Transition periods may require different evidence and escalation logic.</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Steady-state standards are applied before conditions are stable.</w:t>
            </w:r>
          </w:p>
        </w:tc>
        <w:tc>
          <w:tcPr>
            <w:tcW w:type="dxa" w:w="288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Use transition-state standards until post-change validation confirms readiness.</w:t>
            </w:r>
          </w:p>
        </w:tc>
      </w:tr>
    </w:tbl>
    <w:p>
      <w:pPr>
        <w:spacing w:after="100"/>
      </w:pPr>
    </w:p>
    <w:p>
      <w:pPr>
        <w:pStyle w:val="Heading2"/>
        <w:keepNext/>
        <w:pageBreakBefore w:val="0"/>
        <w:spacing w:before="180" w:after="90"/>
      </w:pPr>
      <w:r>
        <w:rPr>
          <w:rFonts w:ascii="Aptos Display" w:hAnsi="Aptos Display" w:eastAsia="Aptos Display"/>
          <w:b/>
          <w:color w:val="17365D"/>
          <w:sz w:val="30"/>
        </w:rPr>
        <w:t>Institutional Redesign Fragility Indicators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699"/>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Fragility Indicator</w:t>
            </w:r>
          </w:p>
        </w:tc>
        <w:tc>
          <w:tcPr>
            <w:tcW w:type="dxa" w:w="2506"/>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Redesign Context</w:t>
            </w:r>
          </w:p>
        </w:tc>
        <w:tc>
          <w:tcPr>
            <w:tcW w:type="dxa" w:w="2621"/>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Institutional Weak Point</w:t>
            </w:r>
          </w:p>
        </w:tc>
        <w:tc>
          <w:tcPr>
            <w:tcW w:type="dxa" w:w="2650"/>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Failure Scenario</w:t>
            </w:r>
          </w:p>
        </w:tc>
        <w:tc>
          <w:tcPr>
            <w:tcW w:type="dxa" w:w="2880"/>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Stabilizing Requirement</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Unresolved authority residue</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Decision rights are reassigned during redesign, but prior exceptions and open issues are not transferred with equal precision.</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Residual exposure remains attached to a prior authority model.</w:t>
            </w:r>
          </w:p>
        </w:tc>
        <w:tc>
          <w:tcPr>
            <w:tcW w:type="dxa" w:w="265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new governance owner receives status but not the authority basis or rationale for unresolved matters.</w:t>
            </w:r>
          </w:p>
        </w:tc>
        <w:tc>
          <w:tcPr>
            <w:tcW w:type="dxa" w:w="288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Require open issue transfer records that include authority basis, evidence state, residual exposure, and receiving owner acceptance.</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Process bifurcation</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Some teams move to the redesigned process while others continue legacy practice during phased rollout.</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One governance model covers two operating realities.</w:t>
            </w:r>
          </w:p>
        </w:tc>
        <w:tc>
          <w:tcPr>
            <w:tcW w:type="dxa" w:w="265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from legacy and new workflows is combined without comparability review.</w:t>
            </w:r>
          </w:p>
        </w:tc>
        <w:tc>
          <w:tcPr>
            <w:tcW w:type="dxa" w:w="288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Define phase boundaries, evidence source of truth, control applicability, and transition-period reliance limits.</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Design dependency opacity</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Transformation design assumes vendor, system, data, AI, or staffing dependencies will operate as planned.</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Dependencies are tested as project assumptions rather than governance conditions.</w:t>
            </w:r>
          </w:p>
        </w:tc>
        <w:tc>
          <w:tcPr>
            <w:tcW w:type="dxa" w:w="265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dependent feed or vendor process fails after go-live and blocks evidence production.</w:t>
            </w:r>
          </w:p>
        </w:tc>
        <w:tc>
          <w:tcPr>
            <w:tcW w:type="dxa" w:w="288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Convert material design assumptions into dependency controls with owners, fallback, and escalation triggers.</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Governance rollback risk</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organization can restore technical service but lacks governance rules for returning to the prior process.</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Rollback planning excludes evidence, authority, and representation consequences.</w:t>
            </w:r>
          </w:p>
        </w:tc>
        <w:tc>
          <w:tcPr>
            <w:tcW w:type="dxa" w:w="265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Operations revert while controls, dashboards, and public-facing statements continue referencing the new model.</w:t>
            </w:r>
          </w:p>
        </w:tc>
        <w:tc>
          <w:tcPr>
            <w:tcW w:type="dxa" w:w="288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Define governance rollback authority, evidence treatment, communication limits, and post-rollback validation.</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Redesign opacity to oversight</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Executive or committee materials describe transformation progress without showing governance readiness gaps.</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Oversight receives implementation status rather than authority, evidence, and control readiness.</w:t>
            </w:r>
          </w:p>
        </w:tc>
        <w:tc>
          <w:tcPr>
            <w:tcW w:type="dxa" w:w="265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Leadership approves continued rollout without seeing unresolved governance exposure.</w:t>
            </w:r>
          </w:p>
        </w:tc>
        <w:tc>
          <w:tcPr>
            <w:tcW w:type="dxa" w:w="288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Separate delivery status from governance readiness and require unresolved exposure summaries before reliance decisions.</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Institutional learning lag</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Training, playbooks, and AI-generated guidance explain the new workflow but not the governance rationale behind it.</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Personnel can operate the process without understanding decision, evidence, or escalation consequences.</w:t>
            </w:r>
          </w:p>
        </w:tc>
        <w:tc>
          <w:tcPr>
            <w:tcW w:type="dxa" w:w="265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transition exception is handled as a routine workflow issue rather than governance exposure.</w:t>
            </w:r>
          </w:p>
        </w:tc>
        <w:tc>
          <w:tcPr>
            <w:tcW w:type="dxa" w:w="288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Document rationale, exception logic, escalation thresholds, and evidence expectations in transition knowledge materials.</w:t>
            </w:r>
          </w:p>
        </w:tc>
      </w:tr>
    </w:tbl>
    <w:p>
      <w:pPr>
        <w:spacing w:after="100"/>
      </w:pPr>
    </w:p>
    <w:p>
      <w:pPr>
        <w:pStyle w:val="Heading2"/>
        <w:keepNext/>
        <w:pageBreakBefore w:val="0"/>
        <w:spacing w:before="180" w:after="90"/>
      </w:pPr>
      <w:r>
        <w:rPr>
          <w:rFonts w:ascii="Aptos Display" w:hAnsi="Aptos Display" w:eastAsia="Aptos Display"/>
          <w:b/>
          <w:color w:val="17365D"/>
          <w:sz w:val="30"/>
        </w:rPr>
        <w:t>Governance Change and Adaptation Operating Standard</w:t>
      </w:r>
    </w:p>
    <w:p>
      <w:pPr>
        <w:spacing w:line="271" w:lineRule="auto" w:after="124"/>
      </w:pPr>
      <w:r>
        <w:rPr>
          <w:rFonts w:ascii="Aptos" w:hAnsi="Aptos" w:eastAsia="Aptos"/>
          <w:b w:val="0"/>
          <w:color w:val="2F3A4A"/>
          <w:sz w:val="20"/>
        </w:rPr>
        <w:t>Governance change shall be managed as a controlled institutional evolution of authority, evidence, accountability, control design, escalation, dependency, and external reliance. A governance model shall not be considered current solely because policies, committees, workflows, or dashboards remain in use after organizational, technological, vendor, staffing, or AI-assisted change.</w:t>
      </w:r>
    </w:p>
    <w:p>
      <w:pPr>
        <w:spacing w:line="271" w:lineRule="auto" w:after="124"/>
      </w:pPr>
      <w:r>
        <w:rPr>
          <w:rFonts w:ascii="Aptos" w:hAnsi="Aptos" w:eastAsia="Aptos"/>
          <w:b w:val="0"/>
          <w:color w:val="2F3A4A"/>
          <w:sz w:val="20"/>
        </w:rPr>
        <w:t>Organizations implementing this framework shall distinguish stable-state governance from transition-state governance. Stable-state governance describes ordinary operation after authority, evidence, ownership, escalation, and control design have been validated. Transition-state governance governs the period in which operating reality is changing, evidence may be discontinuous, authority may be migrating, dependencies may be exposed, and temporary arrangements may be necessary. The transition state shall have explicit owners, decision rights, evidence rules, escalation thresholds, and exit criteria.</w:t>
      </w:r>
    </w:p>
    <w:p>
      <w:pPr>
        <w:spacing w:line="271" w:lineRule="auto" w:after="124"/>
      </w:pPr>
      <w:r>
        <w:rPr>
          <w:rFonts w:ascii="Aptos" w:hAnsi="Aptos" w:eastAsia="Aptos"/>
          <w:b w:val="0"/>
          <w:color w:val="2F3A4A"/>
          <w:sz w:val="20"/>
        </w:rPr>
        <w:t>Material change shall trigger governance recalibration. Recalibration shall include review of control scope, evidence lineage, source population, ownership, decision authority, committee mandate, vendor dependency, AI influence, escalation route, external representation, and unresolved exposure. A change shall not be treated as governance-complete until the institution can demonstrate that the changed process remains governable, reviewable, and reconstructable.</w:t>
      </w:r>
    </w:p>
    <w:p>
      <w:pPr>
        <w:spacing w:line="271" w:lineRule="auto" w:after="124"/>
      </w:pPr>
      <w:r>
        <w:rPr>
          <w:rFonts w:ascii="Aptos" w:hAnsi="Aptos" w:eastAsia="Aptos"/>
          <w:b w:val="0"/>
          <w:color w:val="2F3A4A"/>
          <w:sz w:val="20"/>
        </w:rPr>
        <w:t>Inherited governance elements shall not be carried forward by familiarity alone. Legacy controls, committees, metrics, policies, owner mappings, exception treatments, and reporting artifacts shall be reviewed for current applicability when operating structures change. Where an inherited element continues, the record shall identify the current owner, reliance basis, known limitations, and reassessment trigger. Where an inherited element no longer reflects operational reality, it shall be retired, redesigned, or restricted in reliance.</w:t>
      </w:r>
    </w:p>
    <w:p>
      <w:pPr>
        <w:spacing w:line="271" w:lineRule="auto" w:after="124"/>
      </w:pPr>
      <w:r>
        <w:rPr>
          <w:rFonts w:ascii="Aptos" w:hAnsi="Aptos" w:eastAsia="Aptos"/>
          <w:b w:val="0"/>
          <w:color w:val="2F3A4A"/>
          <w:sz w:val="20"/>
        </w:rPr>
        <w:t>Temporary governance arrangements shall be bounded. Emergency procedures, interim owners, bridge evidence, manual reconciliations, provisional AI workflows, shadow trackers, and temporary exception treatments shall include scope, authority, evidence standard, expiry, monitoring owner, and formal adoption or rollback criteria. Temporary arrangements that persist beyond their intended period shall be escalated as adaptation debt rather than normalized as ordinary operations.</w:t>
      </w:r>
    </w:p>
    <w:p>
      <w:pPr>
        <w:spacing w:line="271" w:lineRule="auto" w:after="124"/>
      </w:pPr>
      <w:r>
        <w:rPr>
          <w:rFonts w:ascii="Aptos" w:hAnsi="Aptos" w:eastAsia="Aptos"/>
          <w:b w:val="0"/>
          <w:color w:val="2F3A4A"/>
          <w:sz w:val="20"/>
        </w:rPr>
        <w:t>AI-assisted change shall be governed when automation changes workflow routing, prioritization, summarization, drafting, classification, recommendation, evidence interpretation, or decision timing. Organizations utilizing AI-assisted workflows shall retain records sufficient to identify model influence, source inputs, output versions, threshold effects, human validation, fallback process, and accountable approval. AI-enabled speed shall not substitute for governance recalibration.</w:t>
      </w:r>
    </w:p>
    <w:p>
      <w:pPr>
        <w:spacing w:line="271" w:lineRule="auto" w:after="124"/>
      </w:pPr>
      <w:r>
        <w:rPr>
          <w:rFonts w:ascii="Aptos" w:hAnsi="Aptos" w:eastAsia="Aptos"/>
          <w:b w:val="0"/>
          <w:color w:val="2F3A4A"/>
          <w:sz w:val="20"/>
        </w:rPr>
        <w:t>Project completion, implementation readiness, user training, vendor cutover, or system go-live shall not be treated as governance closure. Governance closure requires evidence continuity, authority continuity, control alignment, dependency stability, escalation effectiveness, and representation accuracy. Where operational reliance begins before these conditions are complete, the institution shall record interim exposure, decision owner, evidence limitations, and planned validation.</w:t>
      </w:r>
    </w:p>
    <w:p>
      <w:pPr>
        <w:spacing w:line="271" w:lineRule="auto" w:after="124"/>
      </w:pPr>
      <w:r>
        <w:rPr>
          <w:rFonts w:ascii="Aptos" w:hAnsi="Aptos" w:eastAsia="Aptos"/>
          <w:b w:val="0"/>
          <w:color w:val="2F3A4A"/>
          <w:sz w:val="20"/>
        </w:rPr>
        <w:t>Change-related governance decisions shall remain distinguishable from project management decisions. A project may decide schedule, resourcing, build sequence, training plan, or deployment mechanics; governance authority decides whether the changed process may be relied upon for evidence, control operation, external representation, exception closure, or residual exposure acceptance. Where these decisions are combined, the record shall identify which authority accepted which consequence.</w:t>
      </w:r>
    </w:p>
    <w:p>
      <w:pPr>
        <w:spacing w:line="271" w:lineRule="auto" w:after="124"/>
      </w:pPr>
      <w:r>
        <w:rPr>
          <w:rFonts w:ascii="Aptos" w:hAnsi="Aptos" w:eastAsia="Aptos"/>
          <w:b w:val="0"/>
          <w:color w:val="2F3A4A"/>
          <w:sz w:val="20"/>
        </w:rPr>
        <w:t>Rollback, partial deployment, phased rollout, dual-run operation, and delayed evidence maturity shall be treated as governance conditions, not merely implementation conditions. During these periods, the institution shall identify the controlling source of truth, the evidence standard applicable to each period, the authority responsible for interim reliance, the limitations on external representation, and the trigger that returns the process to steady-state governance.</w:t>
      </w:r>
    </w:p>
    <w:p>
      <w:pPr>
        <w:spacing w:line="271" w:lineRule="auto" w:after="124"/>
      </w:pPr>
      <w:r>
        <w:rPr>
          <w:rFonts w:ascii="Aptos" w:hAnsi="Aptos" w:eastAsia="Aptos"/>
          <w:b w:val="0"/>
          <w:color w:val="2F3A4A"/>
          <w:sz w:val="20"/>
        </w:rPr>
        <w:t>Adaptation debt shall be made visible before it becomes institutional practice. Repeated temporary exceptions, manual bridge evidence, legacy control carry-forward, AI-enabled workarounds, deferred control redesign, and unresolved dependency transfers shall be reported according to exposure and aging. The purpose of reporting adaptation debt is not to punish change, but to prevent temporary accommodation from becoming undocumented governance architecture.</w:t>
      </w:r>
    </w:p>
    <w:p>
      <w:pPr>
        <w:spacing w:line="271" w:lineRule="auto" w:after="124"/>
      </w:pPr>
      <w:r>
        <w:rPr>
          <w:rFonts w:ascii="Aptos" w:hAnsi="Aptos" w:eastAsia="Aptos"/>
          <w:b w:val="0"/>
          <w:color w:val="2F3A4A"/>
          <w:sz w:val="20"/>
        </w:rPr>
        <w:t>Governance modernization shall preserve decision survivability. Where redesign changes decision forums, approval routes, source systems, control populations, or evidence formats, the institution shall retain enough pre-change and post-change context to reconstruct why the change was approved, what exposure was accepted during transition, which evidence limitations were known, and when reliance became appropriate.</w:t>
      </w:r>
    </w:p>
    <w:p>
      <w:pPr>
        <w:spacing w:line="271" w:lineRule="auto" w:after="124"/>
      </w:pPr>
      <w:r>
        <w:rPr>
          <w:rFonts w:ascii="Aptos" w:hAnsi="Aptos" w:eastAsia="Aptos"/>
          <w:b w:val="0"/>
          <w:color w:val="2F3A4A"/>
          <w:sz w:val="20"/>
        </w:rPr>
        <w:t>Transition exceptions shall be governed according to consequence rather than convenience. An exception created to preserve migration timing, customer delivery, vendor cutover, or system continuity shall identify whether it affects control operation, evidence freshness, authority alignment, escalation timing, or external representation. Exceptions that affect more than one governance dimension shall be routed to a coordinating authority rather than left with the local implementation owner.</w:t>
      </w:r>
    </w:p>
    <w:p>
      <w:pPr>
        <w:spacing w:line="271" w:lineRule="auto" w:after="124"/>
      </w:pPr>
      <w:r>
        <w:rPr>
          <w:rFonts w:ascii="Aptos" w:hAnsi="Aptos" w:eastAsia="Aptos"/>
          <w:b w:val="0"/>
          <w:color w:val="2F3A4A"/>
          <w:sz w:val="20"/>
        </w:rPr>
        <w:t>Institutional evolution shall be reviewed for asymmetry between functions. A technology group may modernize the platform, an operations group may redesign the workflow, a vendor may revise evidence delivery, and an AI tool may alter prioritization while the governance function still evaluates legacy controls. This framework requires cross-functional comparison of changed reality to documented governance before the changed process is treated as fully mature.</w:t>
      </w:r>
    </w:p>
    <w:p>
      <w:pPr>
        <w:spacing w:line="271" w:lineRule="auto" w:after="124"/>
      </w:pPr>
      <w:r>
        <w:rPr>
          <w:rFonts w:ascii="Aptos" w:hAnsi="Aptos" w:eastAsia="Aptos"/>
          <w:b w:val="0"/>
          <w:color w:val="2F3A4A"/>
          <w:sz w:val="20"/>
        </w:rPr>
        <w:t>The operating standard of this section is adaptation survivability. Governance must remain intelligible through redesign, migration, modernization, automation, staffing change, vendor transition, committee restructuring, and emergency response. Where the institution preserves the appearance of continuity while authority, evidence, dependency, or accountability has shifted without record, governance has not evolved; it has carried forward an obsolete model into a changed operating reality.</w:t>
      </w:r>
    </w:p>
    <w:sectPr w:rsidR="00FC693F" w:rsidRPr="0006063C" w:rsidSect="00034616">
      <w:footerReference w:type="default" r:id="rId9"/>
      <w:pgSz w:w="12240" w:h="15840"/>
      <w:pgMar w:top="1037" w:right="835" w:bottom="893" w:left="835"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ptos" w:hAnsi="Aptos" w:eastAsia="Aptos"/>
        <w:b w:val="0"/>
        <w:color w:val="66758A"/>
        <w:sz w:val="17"/>
      </w:rPr>
      <w:t>Paladin Compliance Governance Binder | Section 1.15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F3A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