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1.16 Governance Assurance, Institutional Trust, and External Reliance</w:t>
      </w:r>
    </w:p>
    <w:p>
      <w:pPr>
        <w:pStyle w:val="BodyText"/>
        <w:keepNext w:val="0"/>
      </w:pPr>
      <w:r>
        <w:t>This governance framework treats assurance as a bounded institutional condition rather than a declaration of certainty. Assurance exists only where governance assertions remain connected to current evidence, accountable authority, defined scope, and reviewable limitation. External reliance changes the consequence profile of governance statements because customers, partners, executives, investors, vendors, auditors, and public observers may use those statements to make decisions that exceed the immediate operational context in which the statements were produced.</w:t>
      </w:r>
    </w:p>
    <w:p>
      <w:pPr>
        <w:pStyle w:val="BodyText"/>
        <w:keepNext w:val="0"/>
      </w:pPr>
      <w:r>
        <w:t>Organizations implementing this framework are expected to distinguish operational confidence from governance assurance. Operational confidence may be based on stable performance, familiar personnel, recurring metrics, or absence of recent failure. Governance assurance requires a stronger linkage: the assertion must be traceable to evidence, the evidence must remain fresh enough for the reliance being supported, the accountable function must understand the boundary of the representation, and any known limitation must remain visible at the point of reliance. Confidence can be reasonable while still being insufficient for external assurance.</w:t>
      </w:r>
    </w:p>
    <w:p>
      <w:pPr>
        <w:pStyle w:val="BodyText"/>
        <w:keepNext w:val="0"/>
      </w:pPr>
      <w:r>
        <w:t>Institutional trust is preserved when represented governance posture and operating reality remain materially aligned. Trust does not require perfect control operation, absence of exceptions, or elimination of uncertainty. It requires disciplined qualification, reliable evidence continuity, and timely recalibration when conditions change. A governance statement that acknowledges scope limitation, pending remediation, or evidence age may be more trustworthy than an unqualified representation that suppresses operational uncertainty for the sake of simplicity.</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Assurance in this framework is a managed reliance condition. It is weakened when governance language, public-facing artifacts, dashboards, attestations, executive summaries, vendor responses, or AI-generated narratives continue to imply stability after the supporting evidence, control population, accountability structure, or operational process has changed.</w:t>
            </w:r>
          </w:p>
        </w:tc>
      </w:tr>
    </w:tbl>
    <w:p>
      <w:pPr>
        <w:spacing w:after="40"/>
      </w:pPr>
    </w:p>
    <w:p>
      <w:pPr>
        <w:pStyle w:val="Heading2"/>
        <w:keepNext/>
        <w:pageBreakBefore w:val="0"/>
      </w:pPr>
      <w:r>
        <w:t>Assurance and Reliance Reference Principles</w:t>
      </w:r>
    </w:p>
    <w:p>
      <w:pPr>
        <w:pStyle w:val="BodyText"/>
        <w:keepNext w:val="0"/>
      </w:pPr>
      <w:r>
        <w:t>The assurance model established by this binder separates the production of governance information from the institutional meaning assigned to that information. A dashboard may show control completion, a committee packet may record discussion, and a vendor questionnaire may contain affirmative responses; none of those artifacts alone establishes assurance unless the represented condition is current, scoped, reviewable, and tied to an accountable decision system.</w:t>
      </w:r>
    </w:p>
    <w:p>
      <w:pPr>
        <w:pStyle w:val="BodyText"/>
        <w:keepNext w:val="0"/>
      </w:pPr>
      <w:r>
        <w:t>External reliance introduces asymmetry. A minor internal overstatement may become material when repeated in a customer-facing environment, incorporated into investor diligence, reused by a partner as dependency evidence, or treated by a vendor as a basis for downstream commitments. Once an assurance statement leaves the originating governance context, its limitation language, evidence freshness, and ownership boundaries become part of the institution's trust posture.</w:t>
      </w:r>
    </w:p>
    <w:p>
      <w:pPr>
        <w:pStyle w:val="Heading3"/>
        <w:keepNext/>
      </w:pPr>
      <w:r>
        <w:t>Governance Assurance Taxonomy</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Assurance Form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Basis</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Permitted Reliance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Condition</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Exposure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process performance, experienced staff judgment, stable issue patterns, and absence of recent adverse events.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Supports internal prioritization and ordinary management review when stakes remain contained.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Cannot be treated as a formal representation unless evidence sufficiency and scope have been independently reviewed.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function may believe a vendor control is stable because incidents are rare while missing that the underlying review population excludes a new outsourced workflow.</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Evidence-backed assurance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Current artifacts, documented review, accountable approval, and traceable control-to-obligation alignment.</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support committee decisions, customer response packages, executive reporting, and audit-supportive explanations within the stated scope.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age, coverage limits, known exceptions, and unresolved dependencies must travel with the assertion.</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control attestation remains technically accurate for the legacy platform while the migrated customer population is governed by a different queue.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Qualified assurance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positive governance position paired with explicit limitation, dependency, time horizon, or remediation caveat.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external or executive reliance without concealing uncertainty that may affect interpretation.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Qualification cannot be buried in unrelated narrative or separated from the statement being relied upon.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customer receives a clean statement of review completion while the exception list is stored in an internal appendix never transmitted with the response.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Implied assurance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signal created by publication, dashboard status, binder inclusion, recurring meeting cadence, or executive repetition.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caution because the relying party may infer more certainty than the organization intended to represent.</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 must monitor whether the signal remains aligned with evidence and whether audience interpretation has expanded.</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public governance page stays active after the evidence maintenance process becomes inconsistent, creating continued confidence without current support.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Externally relied-upon assurance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artifact, attestation, or posture signal known to influence customers, investors, partners, regulators, vendors, or public observers.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heightened change control, freshness review, representation ownership, and escalation when support degrades.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Withdrawal, correction, qualification, or refresh may be required when operating reality changes materially.</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outdated procurement response is reused by multiple customers after an AI-assisted workflow changed approval routing and reviewer accountability.</w:t>
            </w:r>
          </w:p>
        </w:tc>
      </w:tr>
    </w:tbl>
    <w:p>
      <w:pPr>
        <w:spacing w:after="60"/>
      </w:pPr>
    </w:p>
    <w:p>
      <w:pPr>
        <w:pStyle w:val="Heading2"/>
        <w:keepNext/>
        <w:pageBreakBefore w:val="0"/>
      </w:pPr>
      <w:r>
        <w:t>Institutional Trust and External Reliance</w:t>
      </w:r>
    </w:p>
    <w:p>
      <w:pPr>
        <w:pStyle w:val="BodyText"/>
        <w:keepNext w:val="0"/>
      </w:pPr>
      <w:r>
        <w:t>Institutional trust is not created by the volume of governance documentation. Trust is created when the organization can demonstrate that its representations are controlled, qualified, current, and connected to evidence. The operating risk is not merely that a statement may be incorrect. The deeper exposure is that the organization may continue to benefit from trust signals after the underlying assurance basis has weakened, changed, or become unreconstructable.</w:t>
      </w:r>
    </w:p>
    <w:p>
      <w:pPr>
        <w:pStyle w:val="BodyText"/>
        <w:keepNext w:val="0"/>
      </w:pPr>
      <w:r>
        <w:t>Different external constituencies rely on governance in different ways. Customers may convert governance statements into vendor-risk decisions. Partners may treat assurance as dependency evidence for their own governance programs. Investors may interpret governance maturity as an indicator of institutional resilience. Executives may rely on summarized assurance to authorize commitments, accept exposure, or defer remediation. These reliance patterns are not interchangeable and cannot be governed through one generic representation standard.</w:t>
      </w:r>
    </w:p>
    <w:p>
      <w:pPr>
        <w:pStyle w:val="Heading3"/>
        <w:keepNext/>
      </w:pPr>
      <w:r>
        <w:t>Institutional Trust Dependency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Channel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the Audience Commonly Infers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Asymmetrical Risk</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Treatment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diligence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Questionnaire responses, governance binders, certification references, control summaries, and evidence extracts.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operates the described governance process across the customer-relevant environment, not merely within a narrow internal sample.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One overstated answer can be reused by procurement, legal, security, and executive stakeholders across multiple renewal cycles.</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Responses require scope labels, evidence dates, exception linkage, and ownership for future updates when operating conditions change.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Investor or board reporting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dashboards, risk committee updates, maturity narratives, and remediation status summaries.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capabilities are sustainable, funded, and resilient under growth or disruption.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Compressed status language may support strategic decisions before unresolved dependencies or fragile operating assumptions are understood.</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High-level assurance requires traceable support, unresolved exposure treatment, and clear separation between progress, completion, and durable control operation.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Partner ecosystem reliance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Integration assurances, shared-process representations, vendor management outputs, and coordination commitments.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represented governance posture can withstand cross-organizational dependency, timing pressure, and handoff complexity.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partner may build its own assurance on top of an incomplete institutional signal, multiplying consequence outside the originating organization.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Cross-party assurance requires dependency mapping, escalation routing, and explicit limitation for functions not governed by the adopting organization.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or market-facing posture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Published governance pages, trust-center claims, public commitments, and external-facing governance summaries.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visible posture reflects current institutional discipline rather than archival maturity or aspirational structure.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can persist after control drift because public artifacts age quietly while audiences continue treating them as current.</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signals need freshness review, withdrawal authority, and escalation when evidence support or operational alignment degrades.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Regulator or assessor interaction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packages, governance narratives, remediation histories, and management representations.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reconstruct the decision system, not merely produce artifacts that appear organized.</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without rationale may survive first review but fail when decision authority, scope, or timing is challenged.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packages require evidence-to-decision linkage, accountable approval history, and visibility into known limitations.</w:t>
            </w:r>
          </w:p>
        </w:tc>
      </w:tr>
    </w:tbl>
    <w:p>
      <w:pPr>
        <w:spacing w:after="60"/>
      </w:pPr>
    </w:p>
    <w:p>
      <w:pPr>
        <w:pStyle w:val="Heading3"/>
        <w:keepNext/>
      </w:pPr>
      <w:r>
        <w:t>External Reliance Categories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850"/>
            <w:shd w:fill="E7ECF3"/>
            <w:tcMar>
              <w:top w:w="105" w:type="dxa"/>
              <w:start w:w="92" w:type="dxa"/>
              <w:bottom w:w="105" w:type="dxa"/>
              <w:end w:w="92" w:type="dxa"/>
            </w:tcMar>
            <w:vAlign w:val="center"/>
          </w:tcPr>
          <w:p>
            <w:pPr>
              <w:spacing w:after="0" w:line="250" w:lineRule="auto"/>
            </w:pPr>
            <w:r/>
            <w:r>
              <w:rPr>
                <w:rFonts w:ascii="Aptos" w:hAnsi="Aptos"/>
                <w:b/>
                <w:color w:val="17365D"/>
                <w:sz w:val="17"/>
              </w:rPr>
              <w:t>Category</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Consequence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Assurance Boundary</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Example of Misalignment</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Transactional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counterparty uses a governance statement to approve onboarding, renewal, payment, access, or contractual continuation.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accuracy affects a discrete decision with immediate commercial or operational consequence.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must be time-bound and tied to the relevant service, process, system, or control population.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vendor-risk response describes annual review completion while the reviewed service excludes the newly launched AI-assisted intake channel.</w:t>
            </w:r>
          </w:p>
        </w:tc>
      </w:tr>
      <w:tr>
        <w:trPr>
          <w:cantSplit/>
        </w:trPr>
        <w:tc>
          <w:tcPr>
            <w:tcW w:type="dxa" w:w="18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Strategic reliance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Executives, board members, investors, or partners use assurance to assess resilience, scalability, or institutional readiness.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posture influences investment, acquisition, expansion, funding, or risk acceptance decisions.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Assurance must separate current operating capability from planned maturity, remediation trajectory, and dependency risk.</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report marks governance as institutionalized even though escalation still depends on one executive sponsor resolving cross-functional conflicts informally.</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Internal teams use governance representations to route work, prioritize exceptions, or determine whether additional review is required.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assurance can change daily behavior before formal governance recognizes the shift.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representation must indicate whether it supports execution, review, approval, or exposure acceptance.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internal dashboard labels issues as cleared after triage, causing teams to stop evidence collection before accountable review has occurred.</w:t>
            </w:r>
          </w:p>
        </w:tc>
      </w:tr>
      <w:tr>
        <w:trPr>
          <w:cantSplit/>
        </w:trPr>
        <w:tc>
          <w:tcPr>
            <w:tcW w:type="dxa" w:w="18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reliance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published trust signal, certification reference, or governance summary shapes customer, market, or community perception.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benefits from confidence beyond a controlled audience, increasing the duty to prevent stale or overstated posture signals.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Publication requires owner assignment, review cadence, limitation control, and removal criteria.</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trust page continues showing governance coverage for a legacy workflow after process migration creates unreviewed routing paths.</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Inherited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prior representation is reused in downstream materials, vendor packets, board updates, or AI-generated summaries.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assurance becomes embedded in new decisions without fresh review of changed conditions.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must preserve evidence date, original scope, authorizing role, and any caveat attached to the source statement.</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AI drafting tool imports a prior clean assurance statement into a new customer response while omitting a later exception raised by the control owner.</w:t>
            </w:r>
          </w:p>
        </w:tc>
      </w:tr>
    </w:tbl>
    <w:p>
      <w:pPr>
        <w:spacing w:after="60"/>
      </w:pPr>
    </w:p>
    <w:p>
      <w:pPr>
        <w:pStyle w:val="Heading2"/>
        <w:keepNext/>
        <w:pageBreakBefore w:val="0"/>
      </w:pPr>
      <w:r>
        <w:t>Assurance Degradation and Representation Drift</w:t>
      </w:r>
    </w:p>
    <w:p>
      <w:pPr>
        <w:pStyle w:val="BodyText"/>
        <w:keepNext w:val="0"/>
      </w:pPr>
      <w:r>
        <w:t>Assurance degradation often precedes visible governance failure. The organization may continue to operate the same meetings, produce the same reports, and respond to the same external requests while the represented condition becomes less defensible. Degradation may originate from evidence aging, system migration, ownership turnover, unreviewed exception carry-forward, control population mismatch, reliance on inherited language, or changing audience interpretation.</w:t>
      </w:r>
    </w:p>
    <w:p>
      <w:pPr>
        <w:pStyle w:val="BodyText"/>
        <w:keepNext w:val="0"/>
      </w:pPr>
      <w:r>
        <w:t>Representation drift occurs when a governance statement retains its institutional force after the factual basis has changed. The statement may remain literally close to correct while becoming misleading in context. A dashboard that continues to show green status after workflow bifurcation, an attestation that remains posted after evidence maintenance falters, or a committee summary that omits unresolved limitation can all produce assurance beyond what the governance record can support.</w:t>
      </w:r>
    </w:p>
    <w:p>
      <w:pPr>
        <w:pStyle w:val="Heading3"/>
        <w:keepNext/>
      </w:pPr>
      <w:r>
        <w:t>Assurance Degradation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Assurance Consequence</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Detection Difficulty</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Implication</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mismatch</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are current on their face but refer to a review period, population, or process boundary that no longer governs the relied-upon activity.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appears timely while the relevant operating reality is outside the evidence frame.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Often missed because file dates and report generation dates are mistaken for substantive freshness.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escalation when external reliance continues or when the unsupported population includes customer-impacting activity.</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drift</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status language is repeated across packets, dashboards, and responses without renewed evidence testing.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organization becomes more certain in narrative than in proof.</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Difficult to identify when repetition creates familiarity and reduces reviewer skepticism.</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recalibration by the owner of the representation, not merely the owner of the underlying process.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overhang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assurance remains visible after change events, staffing shifts, vendor transitions, or process redesign.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audiences may rely on a historical posture as though it reflects current discipline.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Common where publications, templates, or trust-center materials are not included in change-control routines.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withdrawal, qualification, or update before reliance expands through additional channels.</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Boundary erosion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scoped statement becomes quoted, summarized, or reused without the limiting language that originally made it defensible.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Qualified assurance turns into broad assurance through compression.</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Hard to detect after language moves into executive summaries or AI-generated response drafts.</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correction when the omitted limitation changes how a reasonable relying party would interpret the statement.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Attestation survivorship bias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attestations are preserved because they were accepted historically, even though review criteria, system populations, or control expectations have changed.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Past acceptance is treated as current legitimacy.</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Often reinforced by procurement renewals and recurring audit packages that favor continuity over challenge.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reassessment when historical acceptance becomes the main support for continued reliance.</w:t>
            </w:r>
          </w:p>
        </w:tc>
      </w:tr>
    </w:tbl>
    <w:p>
      <w:pPr>
        <w:spacing w:after="60"/>
      </w:pPr>
    </w:p>
    <w:p>
      <w:pPr>
        <w:pStyle w:val="Heading3"/>
        <w:keepNext/>
      </w:pPr>
      <w:r>
        <w:t>Representation Integrity Failures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Emerges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Representation Defect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Exposure</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Governance Logic</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expansion without language change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product, service, workflow, or customer segment enters reliance before the assurance statement is updated.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statement describes a narrower environment than the audience believes is covered.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attaches to unsupported activity while internal teams continue treating the statement as historically acceptable.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must be revalidated whenever assurance-bearing language is reused for changed operating populations.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Evidence-backed statement becomes sloganized</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precise governance explanation is shortened for executive, sales, or public-facing use.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Caveats, review dates, and dependency conditions disappear from the relied-upon version.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confidence increases as informational value decreases.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Compressed language requires a retained source record and a visible boundary reference when used outside internal governance.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status becomes assurance status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remediation tracker shows no overdue items or no open high-priority exceptions.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Absence of visible exceptions is represented as effective governance.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issue detection or incomplete intake can produce positive assurance from silence.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Status reporting must distinguish no known exception, no reviewed exception, and no material unresolved exposure.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Inherited answer survives process change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Prior questionnaire language is copied into new diligence responses because it previously passed review.</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response carries old assumptions into a changed control environment.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 expands through repeated reuse while accountable review narrows.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response libraries require evidence refresh triggers and owner confirmation before reuse.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signal outlives governance support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Trust-center pages, public binders, or certification references are not tied to operating review cycles.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external artifact remains more durable than the underlying assurance basis.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persists after governance decay, creating credibility loss if later corrected under pressure.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Public-facing assurance must have retirement criteria, owner review, and linkage to evidence maintenance.</w:t>
            </w:r>
          </w:p>
        </w:tc>
      </w:tr>
    </w:tbl>
    <w:p>
      <w:pPr>
        <w:spacing w:after="60"/>
      </w:pPr>
    </w:p>
    <w:p>
      <w:pPr>
        <w:pStyle w:val="Heading2"/>
        <w:keepNext/>
        <w:pageBreakBefore w:val="0"/>
      </w:pPr>
      <w:r>
        <w:t>Confidence Signaling, Compression, and Inflation</w:t>
      </w:r>
    </w:p>
    <w:p>
      <w:pPr>
        <w:pStyle w:val="BodyText"/>
        <w:keepNext w:val="0"/>
      </w:pPr>
      <w:r>
        <w:t>Governance assurance is frequently distorted by the mechanics of communication. Dashboards convert mixed conditions into colors. Executive summaries convert contested judgments into brief findings. Customer-facing responses convert operational nuance into affirmative statements. AI-assisted drafting tools may further smooth uncertainty by generating coherent narratives from incomplete artifacts. These compression mechanisms are not inherently improper, but they can produce confidence inflation when limitation, evidence age, or unresolved dependency is removed from the reliance point.</w:t>
      </w:r>
    </w:p>
    <w:p>
      <w:pPr>
        <w:pStyle w:val="BodyText"/>
        <w:keepNext w:val="0"/>
      </w:pPr>
      <w:r>
        <w:t>Confidence signaling must be governed as a representation activity. A metric, icon, label, maturity score, or summarized paragraph may become an assurance artifact if it influences external reliance or executive decision-making. The governance concern is not whether the signal is visually clear. The concern is whether the signal preserves enough of the underlying evidence boundary to prevent misinterpretation.</w:t>
      </w:r>
    </w:p>
    <w:p>
      <w:pPr>
        <w:pStyle w:val="Heading3"/>
        <w:keepNext/>
      </w:pPr>
      <w:r>
        <w:t>Confidence Inflation Mechanisms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Compression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Lost Governance Information</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Resulting Reliance Error</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Control Consideration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 color coding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Multiple evidence conditions are translated into a single status indicator.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population completeness, evidence age, and unresolved caveats are separated from the status.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green indicator is treated as broad assurance even when support is narrow or stale.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Status indicators require drill-through linkage and escalation when the underlying caveat is material to reliance.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narrative smoothing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complex control position is rewritten as a concise leadership update.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Disagreement, dependency, uncertainty, and pending validation may disappear.</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Executives may authorize commitments without seeing that operational review has not reached decision-grade assurance.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Summaries must distinguish reviewed conclusion from management interpretation and must preserve decision-relevant limitation.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Questionnaire answer reuse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response language is copied into new diligence artifacts with minimal review.</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original evidence date, reviewer basis, and scope assumptions may not follow the answer.</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Customers infer current assurance from language that only reflects a previous operating state.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Reusable answers require freshness tags, source evidence references, and owner reapproval thresholds.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Maturity score aggregation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Uneven governance capabilities are averaged into a single rating.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Function-level fragility, evidence gaps, and escalation immaturity are concealed by aggregate posture.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Leadership may overfund visible maturity work while underestimating localized assurance failure.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Scores require disaggregation where reliance depends on a specific workflow, control family, or operating unit.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synthesis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model summarizes many artifacts into a confident explanation.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Caveats, conflicting evidence, weak source quality, and missing populations may be normalized into coherent prose.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Readers trust fluency as evidence of governance completeness.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assurance narratives require source traceability, limitation review, and human accountability for reliance-bearing language.</w:t>
            </w:r>
          </w:p>
        </w:tc>
      </w:tr>
    </w:tbl>
    <w:p>
      <w:pPr>
        <w:spacing w:after="60"/>
      </w:pPr>
    </w:p>
    <w:p>
      <w:r>
        <w:br w:type="page"/>
      </w:r>
    </w:p>
    <w:p>
      <w:pPr>
        <w:pStyle w:val="Heading3"/>
        <w:keepNext/>
      </w:pPr>
      <w:r>
        <w:t>Qualified Assurance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Structure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Elements</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Where It Fails</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Example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Time-qualified assurance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Limits reliance to a defined review period or evidence freshness window.</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date, evidence period, change-event trigger, and expiry or refresh expectation.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File creation date is substituted for substantive review date.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control was reviewed in March for a system that changed approval routing in April; the March statement cannot support May customer reliance without qualification.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Scope-qualified assurance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Prevents a positive statement from being applied to unreviewed populations, workflows, products, or geographies.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Covered environment, excluded processes, dependency assumptions, and expansion trigger.</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sees the positive statement but not the exclusion boundary.</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governance binder describes vendor review for primary operations while a pilot AI intake process routes exceptions outside the reviewed vendor workflow.</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Dependency-qualified assurance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Discloses that the assurance position depends on another team, vendor, system, or committee action.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owner, status, consequence of failure, and escalation path.</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is treated as background context rather than a condition affecting reliance.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privacy control assertion depends on data-retention mapping owned by an operations function that has not completed migration validation.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Exception-qualified assurance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Allows reliance while preserving knowledge of unresolved issues.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type, residual exposure, mitigation status, expected decision point, and accountable authority.</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lists are separated from external-facing assurance packets.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customer receives assurance of access review performance while repeat late reviews are held in a remediation tracker not included in the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Confidence-qualified assurance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Clarifies when support is directional, preliminary, sampled, or dependent on judgment rather than complete evidence.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Basis of confidence, known uncertainty, review method, and conversion threshold for stronger assurance.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Preliminary findings become institutionalized through repetition.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executive summary describes early governance readiness as established capability before operating evidence exists across the full control population.</w:t>
            </w:r>
          </w:p>
        </w:tc>
      </w:tr>
    </w:tbl>
    <w:p>
      <w:pPr>
        <w:spacing w:after="60"/>
      </w:pPr>
    </w:p>
    <w:p>
      <w:pPr>
        <w:pStyle w:val="Heading2"/>
        <w:keepNext/>
        <w:pageBreakBefore w:val="0"/>
      </w:pPr>
      <w:r>
        <w:t>Assurance Survivability and Evidence Linkage</w:t>
      </w:r>
    </w:p>
    <w:p>
      <w:pPr>
        <w:pStyle w:val="BodyText"/>
        <w:keepNext w:val="0"/>
      </w:pPr>
      <w:r>
        <w:t>Assurance survivability is the ability to reconstruct why a governance representation was reasonable at the time it was made, what evidence supported it, who had authority to approve it, what limitations were known, and what changed afterward. Survivability does not require that every later event was anticipated. It requires that the organization can distinguish good-faith, evidence-linked assurance from retrospective justification after reliance has already occurred.</w:t>
      </w:r>
    </w:p>
    <w:p>
      <w:pPr>
        <w:pStyle w:val="BodyText"/>
        <w:keepNext w:val="0"/>
      </w:pPr>
      <w:r>
        <w:t>The assurance-to-evidence linkage must withstand ordinary institutional events: personnel turnover, platform migration, vendor change, control redesign, AI workflow adoption, executive transition, and external diligence cycles. Where assurance depends on undocumented institutional memory, a single knowledgeable reviewer, or inherited response language, the institution may maintain the appearance of trustworthiness while losing the ability to defend its representations.</w:t>
      </w:r>
    </w:p>
    <w:p>
      <w:pPr>
        <w:pStyle w:val="Heading3"/>
        <w:keepNext/>
      </w:pPr>
      <w:r>
        <w:t>Assurance Survivability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Function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Minimum Operating Evidence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Test</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Example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traceability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Connects each assurance statement to the evidence artifact, control owner, review period, and decision authority that supported it.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index, source system reference, reviewer record, and approval timestamp.</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reviewer can determine what was relied upon without contacting the original drafter.</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diligence answer cites a dashboard export, but the export no longer identifies the control population or filter criteria used to produce the result.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Boundary retention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Preserves limitation language when assurance is reused, summarized, translated, or externally transmitted.</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 note, caveat register, dependency statement, and authorized summary version.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shorter version of the statement still prevents materially broader inference.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AI-assisted drafting removes the phrase covering only production workflows and the final response appears to cover pilot environments.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sensitivity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when operational change invalidates, narrows, or requires refresh of prior assurance.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log linkage, reassessment trigger, affected representation inventory, and owner confirmation.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can identify which external statements are affected by a workflow migration.</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new vendor assumes document processing while customer-facing controls still describe internal review as the assurance basis.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attribution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Records who had authority to issue, qualify, or withhold the representation.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Approver role, delegated authority basis, escalation record, and unresolved challenge history.</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inquiry can distinguish awareness from accountable approval.</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committee was copied on a governance statement, but no member formally accepted residual exposure created by a known evidence gap.</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 persistence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Ensures uncertainty remains visible through the reliance lifecycle instead of being stripped out during communication.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 label, linked exception, audience-specific version control, and expiry handling.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cannot continue on a clean statement after the caveat expires unresolved.</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temporary qualification about evidence migration remains unresolved for months while the public-facing assurance summary stays unchanged.</w:t>
            </w:r>
          </w:p>
        </w:tc>
      </w:tr>
    </w:tbl>
    <w:p>
      <w:pPr>
        <w:spacing w:after="60"/>
      </w:pPr>
    </w:p>
    <w:p>
      <w:pPr>
        <w:pStyle w:val="Heading3"/>
        <w:keepNext/>
      </w:pPr>
      <w:r>
        <w:t>Assurance-to-Evidence Linkage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Linkage Structure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Assurance Value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Weak-Link Condition</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Review Concern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Threshold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register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Creates an inventory of assurance-bearing statements, audiences, owners, evidence sources, and refresh obligations.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Register omits informal statements reused by sales, investor relations, customer success, or AI drafting systems.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Formal artifacts may be controlled while practical reliance grows elsewhere.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 reused statement influences external commitment outside registered scope.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index</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whether supporting artifacts remain current enough for the specific reliance channel.</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Index tracks upload date rather than review date, population date, or change-event date.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Fresh-looking evidence may not reflect the relied-upon operating condition.</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a high-reliance statement depends on evidence older than the relevant change event.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Qualification ledger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caveats, limitations, exceptions, unresolved dependencies, and conditions attached to assurance.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exist in meeting notes but are not connected to public or customer-facing versions.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Caveat visibility may depend on reviewer memory.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limitation omission could materially alter external interpretation.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 map</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who can approve, qualify, withdraw, or correct assurance-bearing representations.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Templates are edited by teams that lack authority to accept related institutional exposure.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Documentation may be accurate in form but unauthorized in governance meaning.</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representation approval and residual-exposure authority are held by different functions.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control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revalidation before prior assurance language enters a new channel, customer response, executive narrative, or AI-generated summary.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Language libraries lack evidence-date tags or version-specific scope controls.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use may convert old assurance into current posture by implication.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reuse supports customer, investor, public, or regulatory reliance after material change.</w:t>
            </w:r>
          </w:p>
        </w:tc>
      </w:tr>
    </w:tbl>
    <w:p>
      <w:pPr>
        <w:spacing w:after="60"/>
      </w:pPr>
    </w:p>
    <w:p>
      <w:pPr>
        <w:pStyle w:val="Heading3"/>
        <w:keepNext/>
      </w:pPr>
      <w:r>
        <w:t>Attestation Reliability Conditions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Meaning</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Discipline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Breakdown</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Consequence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Current support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attestation reflects evidence reviewed against the present operating environment or a clearly stated historical period.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refresh linked to change events rather than calendar recertification alone.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recertification cycle continues while system migration changes the control population mid-period.</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Attestation remains formally complete but substantively stale.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Competent reviewer basis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approving role understands the obligation, evidence limitation, and reliance consequence.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selection based on authority and domain relevance, not convenience or historical assignment.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legacy owner signs because the template routes to that role, even after operational authority moved elsewhere.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record shows approval but not decision-quality knowledge.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integration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Known control gaps, delayed remediation, and unresolved dependencies are incorporated into the attestation position.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linkage and residual-exposure treatment at the point of approval.</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reporting is maintained in a separate tracker not reconciled before attestation.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assurance coexists with unmanaged qualification.</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calibration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attestation language matches the audience's likely interpretation and reliance use.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of external context, scope language, and foreseeable downstream reuse.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An internally narrow statement is provided externally without translating its limitation.</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Customer or partner reads broader assurance than the evidence can support.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Withdrawal pathway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suspend, correct, or qualify an attestation when support degrades.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Named authority, trigger criteria, notice route, and version replacement control.</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 owner is assigned after publication, so stale assurance remains active until challenged.</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Credibility loss increases because correction appears reactive rather than governed.</w:t>
            </w:r>
          </w:p>
        </w:tc>
      </w:tr>
    </w:tbl>
    <w:p>
      <w:pPr>
        <w:spacing w:after="60"/>
      </w:pPr>
    </w:p>
    <w:p>
      <w:pPr>
        <w:pStyle w:val="Heading2"/>
        <w:keepNext/>
        <w:pageBreakBefore w:val="0"/>
      </w:pPr>
      <w:r>
        <w:t>Trust Boundary Distortion and Reliance Expansion</w:t>
      </w:r>
    </w:p>
    <w:p>
      <w:pPr>
        <w:pStyle w:val="BodyText"/>
        <w:keepNext w:val="0"/>
      </w:pPr>
      <w:r>
        <w:t>Trust boundary distortion occurs when the audience, use, or implied coverage of a governance representation expands beyond the context in which the representation was created. A control statement drafted for a narrow vendor questionnaire may later be inserted into a public trust page, reused in an investor packet, or incorporated into a partner assurance package. The factual words may remain unchanged while the reliance condition changes materially.</w:t>
      </w:r>
    </w:p>
    <w:p>
      <w:pPr>
        <w:pStyle w:val="BodyText"/>
        <w:keepNext w:val="0"/>
      </w:pPr>
      <w:r>
        <w:t>Reliance expansion can be silent. A statement may be forwarded, quoted, summarized, imported into a repository, or ingested by an AI-assisted drafting tool without returning to the originating governance owner. Once that occurs, the institution may inherit representation obligations without any formal decision to expand assurance. Governance must therefore treat reuse, publication, and synthesis as control points, not clerical activity.</w:t>
      </w:r>
    </w:p>
    <w:p>
      <w:pPr>
        <w:pStyle w:val="Heading3"/>
        <w:keepNext/>
      </w:pPr>
      <w:r>
        <w:t>Trust Boundary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That Moves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Ordinary Review Misses It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Resulting Trust Error</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expansion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intended for internal governance review becomes customer, investor, partner, or public-facing.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focus on textual accuracy rather than changed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parties infer institutional assurance that was never approved for their use.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change requires owner reapproval and visible limitation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Purpose conversion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status update becomes support for a commitment, contract response, strategic decision, or public trust signal.</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artifact looks familiar and previously accepted, reducing challenge.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Informational assurance is mistaken for decisional assurance.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 use must be recorded before a governance statement can support commitments.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Temporal extension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time-bound representation continues circulating after the evidence period or operating condition has changed.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Calendar review may not detect downstream copies or AI-generated reuse.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support is treated as current posture.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Expiration, refresh, and withdrawal mechanics must travel with assurance-bearing content.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 migration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control statement follows a process, service, or platform into an environment that was not reviewed.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names remain similar after migration, masking changed control coverage.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audience assumes continuity because terminology did not change.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Migration events require evidence-population validation before representation reuse.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Authority substitution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team that can draft a statement is treated as having authority to approve the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access is mistaken for governance authority.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approval is separated from residual-exposure ownership.</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Approval routing must align statement issuance with accountable authority.</w:t>
            </w:r>
          </w:p>
        </w:tc>
      </w:tr>
    </w:tbl>
    <w:p>
      <w:pPr>
        <w:spacing w:after="60"/>
      </w:pPr>
    </w:p>
    <w:p>
      <w:pPr>
        <w:pStyle w:val="Heading3"/>
        <w:keepNext/>
      </w:pPr>
      <w:r>
        <w:t>External Reliance Escalation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Condition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Escalation Is Required</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Likely Delay Pattern</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Decision Needed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evidence staleness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representation continues to support customer, executive, or public reliance after evidence is older than the relevant process change.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assurance basis may be historically accurate but no longer decision-grade.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defer action because the next scheduled review is near or because no exception has been formally opened.</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qualify, suspend, or replace the representation before additional reliance occurs.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Known interpretation gap</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relying party is likely to read the statement more broadly than the institution intended.</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Silence can function as overrepresentation when the mismatch is foreseeable.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Internal teams debate wording while the statement remains active.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Clarify scope, add limitation, or route to authority that can accept the broader reliance.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High-consequence reuse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Existing assurance language is proposed for investor, board, regulator, partner, or public use.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words carry different institutional consequence in the new channel.</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acceptance is used to avoid re-review.</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Reassess evidence, authority, and limitation against the new reliance context.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assurance draft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model synthesizes governance posture from mixed, stale, or unverified source artifacts.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coherence may conceal source weakness or missing caveat.</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focus on readability and miss provenance defects.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 verification, caveat restoration, and accountable approval before distribution.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Unresolved contradiction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owner testimony, dashboard status, or prior representation conflicts with another governance artifact.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Contradiction undermines assurance even if each artifact is individually plausible.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preserve both statements until an external challenge forces reconciliation.</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Assign an accountable reconciliation decision and control any external language until resolved.</w:t>
            </w:r>
          </w:p>
        </w:tc>
      </w:tr>
    </w:tbl>
    <w:p>
      <w:pPr>
        <w:spacing w:after="60"/>
      </w:pPr>
    </w:p>
    <w:p>
      <w:pPr>
        <w:pStyle w:val="Heading2"/>
        <w:keepNext/>
        <w:pageBreakBefore w:val="0"/>
      </w:pPr>
      <w:r>
        <w:t>AI-Assisted Assurance and Confidence Distortion</w:t>
      </w:r>
    </w:p>
    <w:p>
      <w:pPr>
        <w:pStyle w:val="BodyText"/>
        <w:keepNext w:val="0"/>
      </w:pPr>
      <w:r>
        <w:t>AI-assisted systems can materially affect assurance even when they do not make final governance decisions. They summarize evidence, draft attestations, classify issues, recommend priority, normalize language, prepare executive narratives, generate customer responses, and create public-facing explanations. Each activity can alter confidence signaling by changing what information is emphasized, omitted, smoothed, or repeated.</w:t>
      </w:r>
    </w:p>
    <w:p>
      <w:pPr>
        <w:pStyle w:val="BodyText"/>
        <w:keepNext w:val="0"/>
      </w:pPr>
      <w:r>
        <w:t>The principal assurance risk is not that generated language is always inaccurate. It is that generated language may appear institutionally coherent before the evidence, limitation, authority, and reliance boundary have been verified. AI-assisted drafting can convert partial evidence into fluent assurance, transform qualified statements into clean representations, or create the appearance of consensus by synthesizing unresolved positions into a single narrative. Where external reliance is possible, generated assurance must be treated as representation-bearing content.</w:t>
      </w:r>
    </w:p>
    <w:p>
      <w:pPr>
        <w:pStyle w:val="Heading3"/>
        <w:keepNext/>
      </w:pPr>
      <w:r>
        <w:t>AI-Assisted Assurance Risks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AI-Assisted Activity</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 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Concern</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Consequence</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Counterweight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summaries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Condenses mixed evidence into a coherent statement while suppressing caveat hierarchy and source disagreement.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may confuse fluency with completeness.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Executives or customers receive confidence without seeing the uncertainty that shaped the source record.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Source-linked review, limitation preservation, and explicit identification of unresolved evidence conflicts.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AI-assisted attestation drafting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Reuses historical assurance language and adapts it to current requests without validating change events.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Inherited representation risk becomes automated.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Stale assurance may be transmitted as current institutional posture.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Attestation drafts require evidence-date validation and accountable owner approval before issuance.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Automated trust signaling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Generates badges, status labels, response ratings, or narrative posture indicators from incomplete governance data.</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simplicity may exceed evidence reliability.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audiences may rely on visible assurance without understanding scope or freshness limits.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need auditable rule logic, publication controls, and withdrawal triggers.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executive narratives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Smooths unresolved governance tensions into digestible themes for leadership review.</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may miss the difference between known exposure and unclear exposure.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Late executive entry becomes more likely because uncertainty was not escalated when options were still open.</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Narratives require exception prompts, explicit uncertainty fields, and retained evidence links.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AI-mediated reliance expansion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statements are surfaced and reused across channels based on semantic similarity rather than governance authority.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Content can travel outside its approved reliance boundary.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approved for internal use appears in customer or public materials without reauthorization.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workflows require channel-based reapproval and preservation of original scope metadata.</w:t>
            </w:r>
          </w:p>
        </w:tc>
      </w:tr>
    </w:tbl>
    <w:p>
      <w:pPr>
        <w:spacing w:after="60"/>
      </w:pPr>
    </w:p>
    <w:p>
      <w:pPr>
        <w:pStyle w:val="Heading3"/>
        <w:keepNext/>
      </w:pPr>
      <w:r>
        <w:t>AI-Generated Confidence Inflation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AI Behavior</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Hidden Weakness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Effect</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Assurance Control</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False coherence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Constructs a unified narrative from evidence that contains disagreement, missing data, or unresolved limitation.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source record does not support the level of certainty conveyed.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appears more settled than it is, reducing escalation pressure.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text must be checked against source conflicts and exception registers before approval.</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smoothing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Rephrases cautionary language into polished assurance statements.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Limitation intensity is reduced without formal decision.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readers receive a cleaner signal than governance intended.</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Material caveats require protected wording or explicit approval to remove.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amplification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Selects affirmative evidence and downplays low-frequency or conditional issues.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Rare but consequential exposure may be omitted from summaries.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may accept exposure unknowingly because the narrative emphasizes normal operation.</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must include adverse evidence sampling and dependency challenge prompts.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Rationale substitution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Generates plausible explanation for an outcome when the original decision record is incomplete.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Post hoc rationale is mistaken for contemporaneous governance reasoning.</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survivability is weakened because reconstruction depends on generated language.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AI-drafted rationale must be labeled as draft support and tied to actual decision evidence.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Overtrust in synthesis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Combines multiple artifacts into a confident conclusion without signaling source quality differences.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stale, or unauthoritative sources receive equal narrative weight.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appears institutionally broader than the strongest source can support.</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weighting, provenance display, and reviewer accountability are required for reliance-bearing summaries.</w:t>
            </w:r>
          </w:p>
        </w:tc>
      </w:tr>
    </w:tbl>
    <w:p>
      <w:pPr>
        <w:spacing w:after="60"/>
      </w:pPr>
    </w:p>
    <w:p>
      <w:pPr>
        <w:pStyle w:val="Heading2"/>
        <w:keepNext/>
        <w:pageBreakBefore w:val="0"/>
      </w:pPr>
      <w:r>
        <w:t>Representation Lifecycle and Credibility Failure Modes</w:t>
      </w:r>
    </w:p>
    <w:p>
      <w:pPr>
        <w:pStyle w:val="BodyText"/>
        <w:keepNext w:val="0"/>
      </w:pPr>
      <w:r>
        <w:t>Assurance-bearing representations have a lifecycle. They are drafted, reviewed, approved, issued, reused, summarized, refreshed, qualified, withdrawn, or superseded. Failure occurs when governance controls the drafting stage but not the later states in which reliance actually expands. A representation can remain unchanged in the source repository while its institutional meaning changes through audience reuse, operational change, public visibility, or executive repetition.</w:t>
      </w:r>
    </w:p>
    <w:p>
      <w:pPr>
        <w:pStyle w:val="BodyText"/>
        <w:keepNext w:val="0"/>
      </w:pPr>
      <w:r>
        <w:t>Credibility failures rarely begin with intentional overstatement. They more often begin with reasonable language that was not refreshed after a migration, caveat language that was omitted during summarization, dashboards that remained green after detection weakened, or inherited responses that continued circulating because no owner challenged them. The credibility loss is intensified when the institution cannot explain when the representation became unsupported.</w:t>
      </w:r>
    </w:p>
    <w:p>
      <w:pPr>
        <w:pStyle w:val="Heading3"/>
        <w:keepNext/>
      </w:pPr>
      <w:r>
        <w:t>Representation Lifecycle States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750"/>
            <w:shd w:fill="E7ECF3"/>
            <w:tcMar>
              <w:top w:w="105" w:type="dxa"/>
              <w:start w:w="92" w:type="dxa"/>
              <w:bottom w:w="105" w:type="dxa"/>
              <w:end w:w="92" w:type="dxa"/>
            </w:tcMar>
            <w:vAlign w:val="center"/>
          </w:tcPr>
          <w:p>
            <w:pPr>
              <w:spacing w:after="0" w:line="250" w:lineRule="auto"/>
            </w:pPr>
            <w:r/>
            <w:r>
              <w:rPr>
                <w:rFonts w:ascii="Aptos" w:hAnsi="Aptos"/>
                <w:b/>
                <w:color w:val="17365D"/>
                <w:sz w:val="17"/>
              </w:rPr>
              <w:t>Lifecycle State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Meaning</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Control</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Exit Condition</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Drafted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Language is being formed but has not yet become institutional assurance.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evidence identification and owner assignment.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Drafts are copied externally before review because they appear polished.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Move to review only after scope, audience, and evidence source are identified.</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and limitation have been assessed, but authority may not yet have approved reliance.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competence, caveat handling, and contradiction resolution.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is treated as approval because no separate decision gate exists.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Move to approval after decision authority accepts or qualifies the assurance.</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has entered an audience channel and may support reliance.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Version control, distribution record, and visible boundary statement.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Issued language travels beyond the approved audience.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Move to reuse, refresh, or withdrawal based on audience, time, or change triggers.</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Reused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Prior representation is applied to a new request, channel, or decision context.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Freshness check, scope confirmation, and authority reapproval.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Historical acceptance substitutes for current assurance.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Move to reissued state only after evidence and limitation are validated for the new use.</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remains visible or available after support has aged, changed, or become uncertain.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Staleness flag, reliance suspension, and owner escalation.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leave the statement active because no replacement language is ready.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 qualify, or refresh before further reliance.</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Superseded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newer statement replaces the prior position.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Obsolescence notice and downstream copy control.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Old versions remain embedded in repositories, AI prompts, or customer materials.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Archive with linkage to the replacement and prevent uncontrolled reuse.</w:t>
            </w:r>
          </w:p>
        </w:tc>
      </w:tr>
    </w:tbl>
    <w:p>
      <w:pPr>
        <w:spacing w:after="60"/>
      </w:pPr>
    </w:p>
    <w:p>
      <w:r>
        <w:br w:type="page"/>
      </w:r>
    </w:p>
    <w:p>
      <w:pPr>
        <w:pStyle w:val="Heading3"/>
        <w:keepNext/>
      </w:pPr>
      <w:r>
        <w:t>Institutional Credibility Failure Modes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Institutional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Credibility Breakpoint</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Recovery Difficulty</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Lesson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 assurance persistence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or customer-facing statements remain active after control, system, or ownership change.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relying party identifies the mismatch before the organization issues a qualification.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because correction appears externally forced even if the original statement was reasonable.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artifacts require active retirement and change-event review.</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overrepresentation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Narratives describe governance maturity more broadly than evidence-backed coverage.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diligence requests proof at the specific workflow level.</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Moderate to high, especially where leadership repeated broad posture language.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Maturity language must be tied to population, process, and evidence discipline.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Evidence-backed but poorly bounded assurance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 exists, but scope limitation is unclear or unavailable to the audience.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customer, partner, or assessor applies the statement to an excluded process.</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Moderate, because proof may exist but trust is weakened by avoidable ambiguity.</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Boundaries must be visible at the reliance point, not merely stored in source documentation.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Assurance layering without reconciliation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Multiple positive governance signals are stacked across reports, summaries, and attestations.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One layer conflicts with exception records or operational testimony.</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 because repeated signals create stronger expectation than any single statement.</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Layered assurance requires contradiction review and version discipline.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amplification through repetition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assurance statement appears in many forums without renewed challenge.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Repetition is exposed as circular support rather than independent confirmation.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because institutional confidence appears unearned.</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language must trace back to evidence rather than to prior repetition.</w:t>
            </w:r>
          </w:p>
        </w:tc>
      </w:tr>
    </w:tbl>
    <w:p>
      <w:pPr>
        <w:spacing w:after="60"/>
      </w:pPr>
    </w:p>
    <w:p>
      <w:pPr>
        <w:pStyle w:val="Heading3"/>
        <w:keepNext/>
      </w:pPr>
      <w:r>
        <w:t>Assurance Reconstruction Scenarios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Scenario</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Reconstruction Question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Needed</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Gap</w:t>
            </w:r>
          </w:p>
        </w:tc>
        <w:tc>
          <w:tcPr>
            <w:tcW w:type="dxa" w:w="17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Outcome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challenges prior response</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What evidence supported the representation on the date it was provided, and what limitations were known?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Response version, source evidence, reviewer notes, approval record, and exception linkage.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the final answer is saved; source materials and caveat discussions are dispersed.</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can defend, qualify, or correct depending on whether the contemporaneous support is recoverable.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asks why assurance changed</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Which operational event, evidence update, or interpretation shift caused the confidence level to move?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Change-event log, evidence freshness index, old and new representation versions, and owner decision memo.</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 was gradual and never linked to representation review.</w:t>
            </w:r>
          </w:p>
        </w:tc>
        <w:tc>
          <w:tcPr>
            <w:tcW w:type="dxa" w:w="17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may need to treat the change as delayed escalation rather than ordinary refresh.</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Partner relies on inherited statement</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Was the statement approved for partner reliance or merely available in internal materials?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approval record, distribution history, scope limitation, and reuse authorization.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Content traveled through an uncontrolled repository or AI-generated packet.</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must assess reliance expansion and decide whether to reissue, limit, or withdraw.</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artifact becomes stale</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When did the public trust signal stop reflecting current evidence-backed governance?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Publication owner record, review cadence, evidence lineage, process change record, and withdrawal criteria.</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pages are maintained outside governance change control.</w:t>
            </w:r>
          </w:p>
        </w:tc>
        <w:tc>
          <w:tcPr>
            <w:tcW w:type="dxa" w:w="17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Correction requires credibility management and future publication controls.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 summary becomes decision basis</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What source evidence did the generated narrative use, and who accepted accountability for its assurance content?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Prompt record where available, source list, human review notes, and approval authority.</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text is saved without provenance or caveat comparison.</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assurance may be treated as unsupported until a human-controlled evidence link is reestablished.</w:t>
            </w:r>
          </w:p>
        </w:tc>
      </w:tr>
    </w:tbl>
    <w:p>
      <w:pPr>
        <w:spacing w:after="60"/>
      </w:pPr>
    </w:p>
    <w:p>
      <w:pPr>
        <w:pStyle w:val="Heading2"/>
        <w:keepNext/>
        <w:pageBreakBefore w:val="0"/>
      </w:pPr>
      <w:r>
        <w:t>Governance Confidence Recalibration</w:t>
      </w:r>
    </w:p>
    <w:p>
      <w:pPr>
        <w:pStyle w:val="BodyText"/>
        <w:keepNext w:val="0"/>
      </w:pPr>
      <w:r>
        <w:t>Confidence recalibration is the disciplined adjustment of assurance language, reliance permissions, evidence requirements, and representation boundaries after the institution learns that operating conditions have changed. Recalibration is not an admission that prior assurance was improper. It is the ordinary governance function by which trust remains aligned with current evidence and known limitation.</w:t>
      </w:r>
    </w:p>
    <w:p>
      <w:pPr>
        <w:pStyle w:val="BodyText"/>
        <w:keepNext w:val="0"/>
      </w:pPr>
      <w:r>
        <w:t>Recalibration is often resisted because it appears to reduce confidence. In practice, timely qualification can preserve trust by showing that the organization governs uncertainty rather than concealing it. The asymmetrical risk is that delayed recalibration may allow reliance to expand while the assurance basis weakens. Once external parties have relied on an unqualified posture, correction becomes more consequential and more difficult to communicate.</w:t>
      </w:r>
    </w:p>
    <w:p>
      <w:pPr>
        <w:pStyle w:val="Heading3"/>
        <w:keepNext/>
      </w:pPr>
      <w:r>
        <w:t>Governance Confidence Recalibration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Confidence Must Be Reassessed</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Recalibration Action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Risk of Delay</w:t>
            </w:r>
          </w:p>
        </w:tc>
        <w:tc>
          <w:tcPr>
            <w:tcW w:type="dxa" w:w="1760"/>
            <w:shd w:fill="E7ECF3"/>
            <w:tcMar>
              <w:top w:w="105" w:type="dxa"/>
              <w:start w:w="92" w:type="dxa"/>
              <w:bottom w:w="105" w:type="dxa"/>
              <w:end w:w="92" w:type="dxa"/>
            </w:tcMar>
            <w:vAlign w:val="center"/>
          </w:tcPr>
          <w:p>
            <w:pPr>
              <w:spacing w:after="0" w:line="250" w:lineRule="auto"/>
            </w:pPr>
            <w:r/>
            <w:r>
              <w:rPr>
                <w:rFonts w:ascii="Aptos" w:hAnsi="Aptos"/>
                <w:b/>
                <w:color w:val="17365D"/>
                <w:sz w:val="17"/>
              </w:rPr>
              <w:t>Authority Involved</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operating change</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system, vendor, control population, or AI-assisted routing changes the environment covered by prior assurance.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Revalidate scope and decide whether existing representations remain accurate, require qualification, or must be suspended.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may continue on a posture that no longer maps to operating reality.</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owner, governance owner, representation owner, and escalation authority where residual exposure is affected.</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contradiction</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evidence conflicts with dashboards, attestations, prior statements, or owner testimony.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Open reconciliation review and restrict broad assurance until the contradiction is resolved.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Conflicting artifacts may circulate simultaneously and undermine institutional credibility.</w:t>
            </w:r>
          </w:p>
        </w:tc>
        <w:tc>
          <w:tcPr>
            <w:tcW w:type="dxa" w:w="17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forum with authority to resolve evidence priority and approve external language.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expansion</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moves from internal use into customer, investor, partner, regulatory, or public reliance.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Reassess language against foreseeable interpretation and reliance consequence.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Internal shorthand may become external overrepresentation.</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authority and function accountable for the external channel.</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 synthesis use</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narrative will influence leadership, customer, partner, or public assurance.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Validate source quality, restore caveats, and approve reliance-bearing text through accountable human authority.</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coherence may create confidence beyond the underlying source record.</w:t>
            </w:r>
          </w:p>
        </w:tc>
        <w:tc>
          <w:tcPr>
            <w:tcW w:type="dxa" w:w="17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Human approver with authority over the represented governance posture.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exception carry-forward</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limitation becomes normalized and no longer affects assurance language.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Determine whether the exception changes the assurance level, requires disclosure, or triggers remediation escalation.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Qualified risk becomes silently embedded in unqualified representation.</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owner, risk owner, and executive authority if exposure acceptance is implied.</w:t>
            </w:r>
          </w:p>
        </w:tc>
      </w:tr>
    </w:tbl>
    <w:p>
      <w:pPr>
        <w:spacing w:after="60"/>
      </w:pPr>
    </w:p>
    <w:p>
      <w:pPr>
        <w:pStyle w:val="Heading2"/>
        <w:keepNext/>
        <w:pageBreakBefore w:val="0"/>
      </w:pPr>
      <w:r>
        <w:t>Governance Signaling and Posture Management</w:t>
      </w:r>
    </w:p>
    <w:p>
      <w:pPr>
        <w:pStyle w:val="BodyText"/>
        <w:keepNext w:val="0"/>
      </w:pPr>
      <w:r>
        <w:t>Governance posture signaling includes the artifacts, statements, status indicators, certification references, maturity narratives, and assurance summaries through which an institution communicates its governance condition. These signals may be useful and necessary, but they are not neutral. They shape expectations, create reliance, and can outlive the evidence that originally made them defensible.</w:t>
      </w:r>
    </w:p>
    <w:p>
      <w:pPr>
        <w:pStyle w:val="BodyText"/>
        <w:keepNext w:val="0"/>
      </w:pPr>
      <w:r>
        <w:t>The governance operating model must therefore distinguish visibility from assurance. A visible governance binder, dashboard, public statement, or recurring committee report may support trust only if it remains governed as a representation. Without evidence linkage, ownership, refresh discipline, and limitation control, visible governance can become ceremonial assurance: institutionally impressive, operationally thin, and difficult to defend when challenged.</w:t>
      </w:r>
    </w:p>
    <w:p>
      <w:r>
        <w:br w:type="page"/>
      </w:r>
    </w:p>
    <w:p>
      <w:pPr>
        <w:pStyle w:val="Heading3"/>
        <w:keepNext/>
      </w:pPr>
      <w:r>
        <w:t>Governance Signaling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Type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Benefit</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Representation Risk</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Requirement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Indicator</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Binder or governance framework artifact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Demonstrates organized governance architecture and executive-facing control discipline.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Readers may infer operating maturity from document completeness alone.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distinguish framework adoption, active operation, evidence support, and unresolved implementation gaps.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binder is current while control owners cannot produce evidence for the processes it describes.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 or status portal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Provides accessible view of operating condition and exception posture.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Color, score, or trend signal may imply assurance that exceeds the evidence method.</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Must expose population, data source, review date, and unresolved caveat relevant to reliance.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Status remains green after intake logic changed and a material queue is no longer counted.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Certification or assessment reference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Offers external shorthand for discipline previously reviewed by a third party or structured process.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may infer broader coverage or more current operation than the assessment supports.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identify period, scope, exclusions, and relationship to present operations.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Certification reference is reused for a newly acquired unit that was not included in the reviewed environment.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maturity narrative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Helps leadership evaluate trajectory, investment needs, and institutional resilience.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Aggregate maturity can obscure function-level fragility or evidence weakness.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Must separate current capability, planned improvement, and dependency-driven risk.</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statement calls governance institutionalized while escalation still relies on informal executive intervention.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trust statement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Supports market confidence and reduces ambiguity about governance posture.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may continue shaping reliance after support becomes stale or qualified.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include ownership, review cadence, withdrawal criteria, and evidence-backed scope.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language remains unchanged after a major workflow redesign introduces unreviewed AI-assisted prioritization.</w:t>
            </w:r>
          </w:p>
        </w:tc>
      </w:tr>
    </w:tbl>
    <w:p>
      <w:pPr>
        <w:spacing w:after="60"/>
      </w:pPr>
    </w:p>
    <w:p>
      <w:pPr>
        <w:pStyle w:val="Heading2"/>
        <w:keepNext/>
        <w:pageBreakBefore/>
      </w:pPr>
      <w:r>
        <w:t>Governance Assurance and External Reliance Operating Standard</w:t>
      </w:r>
    </w:p>
    <w:p>
      <w:pPr>
        <w:pStyle w:val="BodyText"/>
        <w:keepNext w:val="0"/>
      </w:pPr>
      <w:r>
        <w:t>Governance assurance under this framework shall be treated as a bounded, evidence-linked, authority-approved, and audience-sensitive condition. Assurance-bearing representations shall not be managed solely as communications artifacts. They shall be governed as institutional reliance instruments whenever they may influence customer decisions, partner reliance, executive judgment, investor interpretation, vendor commitments, regulator or assessor review, or public confidence.</w:t>
      </w:r>
    </w:p>
    <w:p>
      <w:pPr>
        <w:pStyle w:val="BodyText"/>
        <w:keepNext w:val="0"/>
      </w:pPr>
      <w:r>
        <w:t>Organizations implementing this framework shall maintain a controlled relationship between assurance language and the evidence, scope, limitations, review authority, and change conditions that support it. A governance statement shall not be treated as durable merely because it was previously accurate, previously accepted, or previously approved. Prior acceptance may inform review history, but it does not substitute for current evidence sufficiency when operating conditions, reliance context, or audience interpretation has changed.</w:t>
      </w:r>
    </w:p>
    <w:p>
      <w:pPr>
        <w:pStyle w:val="BodyText"/>
        <w:keepNext w:val="0"/>
      </w:pPr>
      <w:r>
        <w:t>Assurance shall be qualified when the supporting evidence is incomplete, aged, sampled, scoped, dependent, contradicted, or subject to unresolved remediation. Qualification shall be placed near the assurance statement it limits and shall remain attached when the statement is reused, summarized, transmitted externally, or incorporated into AI-assisted drafting. Separating limitation from representation weakens institutional trust because it permits reliance on a cleaner signal than the governance record supports.</w:t>
      </w:r>
    </w:p>
    <w:p>
      <w:pPr>
        <w:pStyle w:val="BodyText"/>
        <w:keepNext w:val="0"/>
      </w:pPr>
      <w:r>
        <w:t>External reliance shall trigger heightened review where the statement supports customer diligence, partner dependency, investor or board evaluation, public posture, contractual commitment, assessment response, or other high-consequence institutional interpretation. The review shall identify the relying audience, the likely interpretation of the statement, the relevant evidence date, the covered operating population, known exclusions, unresolved dependencies, and the authority responsible for approving or withholding the representation.</w:t>
      </w:r>
    </w:p>
    <w:p>
      <w:pPr>
        <w:pStyle w:val="BodyText"/>
        <w:keepNext w:val="0"/>
      </w:pPr>
      <w:r>
        <w:t>Governance confidence shall be recalibrated when material operating change, evidence contradiction, audience expansion, AI-generated synthesis, unresolved exception carry-forward, vendor transition, system migration, staffing change, or public visibility alters the assurance basis. Recalibration may result in confirmation, qualification, withdrawal, replacement, or escalation. Failure to recalibrate shall be treated as a governance exposure when continued reliance is reasonably foreseeable.</w:t>
      </w:r>
    </w:p>
    <w:p>
      <w:pPr>
        <w:pStyle w:val="BodyText"/>
        <w:keepNext w:val="0"/>
      </w:pPr>
      <w:r>
        <w:t>AI-assisted assurance content shall require source traceability, caveat preservation, human accountability, and reliance-aware approval before distribution. Generated summaries, synthesized governance narratives, draft attestations, automated trust signals, and executive briefings shall not be treated as assurance merely because they are coherent or consistent with historical language. Generated content becomes assurance-bearing only when a human authority accepts responsibility for its evidence basis, limitation handling, and reliance consequence.</w:t>
      </w:r>
    </w:p>
    <w:p>
      <w:pPr>
        <w:pStyle w:val="BodyText"/>
        <w:keepNext w:val="0"/>
      </w:pPr>
      <w:r>
        <w:t>The institution shall preserve assurance survivability by maintaining representation records, evidence references, approval history, limitation ledgers, distribution records, reuse controls, and withdrawal pathways sufficient to reconstruct why a statement was reasonable at the time it was issued. Survivability requires more than document retention. It requires that a later reviewer can identify what was represented, to whom, under what scope, using what evidence, with what caveats, and by what authority.</w:t>
      </w:r>
    </w:p>
    <w:p>
      <w:pPr>
        <w:pStyle w:val="BodyText"/>
        <w:keepNext w:val="0"/>
      </w:pPr>
      <w:r>
        <w:t>Public-facing and externally distributed governance signals shall be reviewed as active posture instruments. Published trust statements, governance pages, customer response libraries, recurring attestation language, certification references, dashboard exports, and executive assurance narratives shall be assigned owners, review triggers, freshness expectations, and retirement criteria. Stale assurance shall be corrected or withdrawn through governed action rather than allowed to persist until external challenge.</w:t>
      </w:r>
    </w:p>
    <w:p>
      <w:pPr>
        <w:pStyle w:val="BodyText"/>
        <w:keepNext w:val="0"/>
      </w:pPr>
      <w:r>
        <w:t>The operating standard of this section is reliance discipline. Governance assurance is institutionally credible only when confidence remains proportionate to evidence, representation remains aligned with operating reality, limitations remain visible, and external reliance is neither accidentally expanded nor silently inherited. Trust is preserved not by eliminating uncertainty, but by governing how uncertainty is represented, qualified, escalated, and refreshed.</w:t>
      </w:r>
    </w:p>
    <w:sectPr w:rsidR="00FC693F" w:rsidRPr="0006063C" w:rsidSect="00034616">
      <w:footerReference w:type="default" r:id="rId9"/>
      <w:pgSz w:w="12240" w:h="15840"/>
      <w:pgMar w:top="1037" w:right="835" w:bottom="893" w:left="835" w:header="432"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66758A"/>
        <w:sz w:val="16"/>
      </w:rPr>
      <w:t>Paladin Compliance Governance Binder | Section 1.16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Aptos" w:hAnsi="Aptos"/>
      <w:color w:val="2F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8" w:line="252" w:lineRule="auto"/>
    </w:pPr>
    <w:rPr>
      <w:rFonts w:ascii="Aptos" w:hAnsi="Aptos"/>
      <w:color w:val="2F3A4A"/>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