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40"/>
      </w:pPr>
      <w:r>
        <w:rPr>
          <w:rFonts w:ascii="Aptos Display" w:hAnsi="Aptos Display" w:eastAsia="Aptos Display"/>
          <w:b/>
          <w:color w:val="17365D"/>
          <w:sz w:val="38"/>
        </w:rPr>
        <w:t>2.2 Confidentiality Risk, Exposure Pathways, and Information Handling Boundaries</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defines confidentiality risk as an operational governance condition that emerges through visibility, inference, audience expansion, workflow propagation, and boundary failure. Confidentiality is not limited to secrecy or system access. It is the disciplined preservation of appropriate visibility for information whose disclosure, reuse, transformation, aggregation, or interpretation could create institutional exposure.</w:t>
      </w:r>
    </w:p>
    <w:p>
      <w:pPr>
        <w:spacing w:before="0" w:after="100" w:lineRule="auto" w:line="252"/>
      </w:pPr>
      <w:r>
        <w:rPr>
          <w:rFonts w:ascii="Aptos" w:hAnsi="Aptos" w:eastAsia="Aptos"/>
          <w:b w:val="0"/>
          <w:color w:val="2F3A4A"/>
          <w:sz w:val="18"/>
        </w:rPr>
        <w:t>Organizations implementing this framework shall evaluate confidentiality by how information behaves inside workflows. A record may remain inside an approved system while becoming exposed through dashboards, queue status, metadata, AI summaries, copied excerpts, meeting materials, vendor submissions, or generated responses. Conversely, information may be shared appropriately when audience, context, purpose, and boundary conditions remain controlled.</w:t>
      </w:r>
    </w:p>
    <w:p>
      <w:pPr>
        <w:spacing w:before="0" w:after="100" w:lineRule="auto" w:line="252"/>
      </w:pPr>
      <w:r>
        <w:rPr>
          <w:rFonts w:ascii="Aptos" w:hAnsi="Aptos" w:eastAsia="Aptos"/>
          <w:b w:val="0"/>
          <w:color w:val="2F3A4A"/>
          <w:sz w:val="18"/>
        </w:rPr>
        <w:t>The governance concern is not only whether information is visible. It is whether visibility is aligned with the operational purpose, whether recipients can infer more than intended, whether outputs preserve limitations, whether third parties acquire context through repeated handling, and whether AI-assisted tools create new information artifacts that inherit sensitivity from source material.</w:t>
      </w:r>
    </w:p>
    <w:p>
      <w:pPr>
        <w:spacing w:before="0" w:after="160" w:lineRule="auto" w:line="252"/>
      </w:pPr>
      <w:r>
        <w:rPr>
          <w:rFonts w:ascii="Aptos" w:hAnsi="Aptos" w:eastAsia="Aptos"/>
          <w:b w:val="0"/>
          <w:color w:val="2F3A4A"/>
          <w:sz w:val="18"/>
        </w:rPr>
        <w:t>Confidentiality boundaries must therefore be operated as workflow controls. Boundary discipline requires classification, audience design, transformation review, propagation containment, third-party processing awareness, metadata sensitivity, and escalation when information movement exceeds the authority of the originating workflow.</w:t>
      </w:r>
    </w:p>
    <w:p>
      <w:pPr>
        <w:spacing w:before="160" w:after="40" w:lineRule="auto" w:line="240"/>
        <w:keepNext/>
      </w:pPr>
      <w:r>
        <w:rPr>
          <w:rFonts w:ascii="Aptos" w:hAnsi="Aptos" w:eastAsia="Aptos"/>
          <w:b/>
          <w:color w:val="17365D"/>
          <w:sz w:val="19"/>
        </w:rPr>
        <w:t>Confidentiality Risk Categories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Expression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Direct disclosure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is shared with a recipient, system, vendor, or channel outside the intended audience.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disclosed content itself creates confidentiality, trust, contractual, operational, or governance exposure.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authorized audience, purpose, minimum necessary detail, and approval before transfer.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timing, metadata, queue placement, status, or recurring patterns reveal sensitive institutional conditions.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backlog, executive attention, customer sensitivity, control weakness, or unresolved remediation.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visibility surfaces and metadata as part of confidentiality handling.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through summaries, exports, copied messages, AI outputs, templates, or downstream dashboards.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organization loses control over audience, context, freshness, and limitation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scope, date, recipient, and permitted-use expectations to propagated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loss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separated from the facts, uncertainty, workflow stage, or decision limitations that gave it meaning.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partial information as complete or settled, creating implied assurance or inaccurate response posture.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context in summaries, briefings, and generated outputs used for decisions or external statements.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inheritance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enters a third-party, AI-enabled, or integrated system with different retention, access, support, or processing characteristics.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information acquires exposure conditions not visible in the originating workflow.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support access, retained outputs, and AI feature behavior.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inference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recipient receives limited facts but can infer strategy, weakness, priority, or institutional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is compromised without explicit sensitive content being disclosed.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what the audience can reasonably infer from the total communication and surrounding signals.</w:t>
            </w:r>
          </w:p>
        </w:tc>
      </w:tr>
    </w:tbl>
    <w:p>
      <w:pPr>
        <w:spacing w:before="0" w:after="20" w:lineRule="auto" w:line="252"/>
      </w:pPr>
    </w:p>
    <w:p>
      <w:pPr>
        <w:spacing w:before="160" w:after="40" w:lineRule="auto" w:line="240"/>
        <w:keepNext/>
      </w:pPr>
      <w:r>
        <w:rPr>
          <w:rFonts w:ascii="Aptos" w:hAnsi="Aptos" w:eastAsia="Aptos"/>
          <w:b/>
          <w:color w:val="17365D"/>
          <w:sz w:val="19"/>
        </w:rPr>
        <w:t>Contextual Confidentiality Distinctions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Practical Governance Test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Appropriate control of information visibility based on audience, purpose, consequence, and workflow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may be excessive even where access is technically permitted.</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the recipient see only what is needed for the role, purpose, and current stage?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Secrecy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Deliberate concealment from unauthorized or unnecessary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Overuse can impair operations, while underuse can expose sensitive institutional posture.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non-disclosure necessary, or is scoped disclosure with limitations sufficient?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access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Permission control applied to systems, folders, records, queues, or collaboration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settings may not control exports, summaries, screenshots, or AI transformations.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Does the restriction follow the information after it leaves the source system?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made observable to execute work, coordinate dependencies, or monitor status.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can expand through shared queues, dashboards, and meeting materials.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the visible operational signal appropriate for all recipients who can observe it?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determined by surrounding facts, timing, aggregation, audience, and consequence.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may understate risk when low-risk facts combine into sensitive context.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Would the same information become sensitive in another workflow, audience, or time period?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of control gaps, evidence limitations, exception trends, decision rationale, or assurance boundaries.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may affect institutional trust even when no regulated data element is present.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Could the information alter how a relying party assesses governance credibility?</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Pathways and Propagation Mechanics</w:t>
      </w:r>
    </w:p>
    <w:p>
      <w:pPr>
        <w:spacing w:before="0" w:after="100" w:lineRule="auto" w:line="252"/>
      </w:pPr>
      <w:r>
        <w:rPr>
          <w:rFonts w:ascii="Aptos" w:hAnsi="Aptos" w:eastAsia="Aptos"/>
          <w:b w:val="0"/>
          <w:color w:val="2F3A4A"/>
          <w:sz w:val="18"/>
        </w:rPr>
        <w:t>Confidentiality risk often emerges after the original access decision. Information is copied into a summary, forwarded to another function, pasted into a support ticket, exported for analytics, summarized by an AI tool, converted into a dashboard, or reused as a response template. Each movement may appear operationally reasonable while weakening the original confidentiality boundary.</w:t>
      </w:r>
    </w:p>
    <w:p>
      <w:pPr>
        <w:spacing w:before="0" w:after="160" w:lineRule="auto" w:line="252"/>
      </w:pPr>
      <w:r>
        <w:rPr>
          <w:rFonts w:ascii="Aptos" w:hAnsi="Aptos" w:eastAsia="Aptos"/>
          <w:b w:val="0"/>
          <w:color w:val="2F3A4A"/>
          <w:sz w:val="18"/>
        </w:rPr>
        <w:t>Propagation risk is asymmetric. The operational value of sharing may be immediate and visible, while the exposure created by downstream reuse, retention, inference, or audience expansion may remain hidden until a customer escalation, partner inquiry, audit request, vendor issue, or public inconsistency forces reconstruction.</w:t>
      </w:r>
    </w:p>
    <w:p>
      <w:pPr>
        <w:spacing w:before="160" w:after="40" w:lineRule="auto" w:line="240"/>
        <w:keepNext/>
      </w:pPr>
      <w:r>
        <w:rPr>
          <w:rFonts w:ascii="Aptos" w:hAnsi="Aptos" w:eastAsia="Aptos"/>
          <w:b/>
          <w:color w:val="17365D"/>
          <w:sz w:val="19"/>
        </w:rPr>
        <w:t>Exposure Propagation Pathways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Failure Mode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Email forwarding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moves from a controlled owner group into broader copied circulation.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gain operational context without purpose, limitation, or retention discipline.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concise purpose-specific extracts and avoid forwarding complete histories.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channel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narratives, attachments, informal decisions, and links accumulate inside persistent channels.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Searchable history becomes an unmanaged repository for sensitive workflow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or report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indicators, metrics, exceptions, and operational populations leave live system permissions.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Static extracts are treated as current, complete, or approved beyond the extraction moment.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date, source population, exclusions, and authorized recipient group.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model compresses several records into a concise narrative or issue statement.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source limitations, and audience boundaries disappear from a reusable summary.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reviewer approval and source references for high-reliance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submission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troubleshooting context is transferred into a third-party support workflow.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assumptions, fallback plans, or customer sensitivity become visible outside the institution.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task instructions from institutional context and restrict attachments.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propagation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Language created for one event, customer, or control condition is reused in later communications.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assurance or limitation language becomes generalized and misleading.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template governance with scope, approval, and evidence-basis notes.</w:t>
            </w:r>
          </w:p>
        </w:tc>
      </w:tr>
    </w:tbl>
    <w:p>
      <w:pPr>
        <w:spacing w:before="0" w:after="20" w:lineRule="auto" w:line="252"/>
      </w:pPr>
    </w:p>
    <w:p>
      <w:pPr>
        <w:spacing w:before="160" w:after="40" w:lineRule="auto" w:line="240"/>
        <w:keepNext/>
      </w:pPr>
      <w:r>
        <w:rPr>
          <w:rFonts w:ascii="Aptos" w:hAnsi="Aptos" w:eastAsia="Aptos"/>
          <w:b/>
          <w:color w:val="17365D"/>
          <w:sz w:val="19"/>
        </w:rPr>
        <w:t>Workflow Visibility Distinctions</w:t>
      </w:r>
    </w:p>
    <w:tbl>
      <w:tblPr>
        <w:tblStyle w:val="TableGrid"/>
        <w:tblW w:type="pct" w:w="5000"/>
        <w:jc w:val="center"/>
        <w:tblLayout w:type="fixed"/>
        <w:tblLook w:firstColumn="1" w:firstRow="1" w:lastColumn="0" w:lastRow="0" w:noHBand="0" w:noVBand="1" w:val="04A0"/>
      </w:tblPr>
      <w:tblGrid>
        <w:gridCol w:w="1944"/>
        <w:gridCol w:w="3096"/>
        <w:gridCol w:w="2952"/>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Observable Information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Assigned owner, due date, work queue, required action, and completion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Enables work execution and prioritization.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placement may disclose urgency, customer sensitivity, or executive attention.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Coordination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Dependencies, blockers, handoffs, vendor status, and cross-functional timing.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teams to synchronize work and avoid delay.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maps can reveal institutional fragility or unresolved control gaps.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issue age, remediation progress, evidence status, and escalation indicators.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governance review and accountability.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packets may expose limitations if distributed beyond authority-bearing forums.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exposure, decision options, residual risk, customer impact, and resource needs.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leadership to decide, fund, accept, or redirect response.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awareness may be mistaken by downstream teams as approval or assurance.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partner, vendor, investor, or public-facing facts and posture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reliance, coordination, response, or verification.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audiences may infer more assurance than the institution intended to provide.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AI-mediated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rankings, classifications, recommendations, and generated narratives.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Improves workflow speed and information comprehension.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AI output changes who sees the issue, what they infer, and how confidence is framed.</w:t>
            </w:r>
          </w:p>
        </w:tc>
      </w:tr>
    </w:tbl>
    <w:p>
      <w:pPr>
        <w:spacing w:before="0" w:after="20" w:lineRule="auto" w:line="252"/>
      </w:pPr>
    </w:p>
    <w:p>
      <w:pPr>
        <w:spacing w:before="160" w:after="40" w:lineRule="auto" w:line="240"/>
        <w:keepNext/>
      </w:pPr>
      <w:r>
        <w:rPr>
          <w:rFonts w:ascii="Aptos" w:hAnsi="Aptos" w:eastAsia="Aptos"/>
          <w:b/>
          <w:color w:val="17365D"/>
          <w:sz w:val="19"/>
        </w:rPr>
        <w:t>Information Handling Boundary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Definition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Weakness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is defined by operational role, decision authority, review responsibility,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task participants from decision owners and observers.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 accumulate broad access because exceptions are easier to manage through shared groups.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Workflow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remains inside the workflow for which it was collected, analyzed, or created.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reuse of operational context for unrelated activities.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products are copied into new workflows without reassessing sensitivity.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use is limited to a defined operational, governance, evidence, or response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proportional disclosure and prevents convenience-based repurposing.</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service response becomes analytics input without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changes based on status, lifecycle, event timing, or resolution stage.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temporary restrictions during investigation, negotiation, remediation, or customer response.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materials remain accessible after the sensitive period without disposition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shaped according to what a recipient group needs and can appropriately infer.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different versions for operations, executives, vendors, and external recipients.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single comprehensive packet is used for all audiences.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extracts, AI outputs, dashboards, and derived data are treated as separate governed artifacts.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Recognizes that transformed information may have different exposure characteristics.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artifacts circulate without source linkage or handling labels.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Indirect Disclosure and Audience-Sensitive Handling</w:t>
      </w:r>
    </w:p>
    <w:p>
      <w:pPr>
        <w:spacing w:before="0" w:after="100" w:lineRule="auto" w:line="252"/>
      </w:pPr>
      <w:r>
        <w:rPr>
          <w:rFonts w:ascii="Aptos" w:hAnsi="Aptos" w:eastAsia="Aptos"/>
          <w:b w:val="0"/>
          <w:color w:val="2F3A4A"/>
          <w:sz w:val="18"/>
        </w:rPr>
        <w:t>Indirect disclosure occurs when a communication reveals more than its literal content. Workflow metadata, response speed, routing path, queue position, file naming, revision pattern, omitted information, or the presence of a particular attendee can disclose institutional posture. Confidentiality governance must therefore evaluate what an audience can infer from operational signals as well as what the organization intentionally states.</w:t>
      </w:r>
    </w:p>
    <w:p>
      <w:pPr>
        <w:spacing w:before="0" w:after="160" w:lineRule="auto" w:line="252"/>
      </w:pPr>
      <w:r>
        <w:rPr>
          <w:rFonts w:ascii="Aptos" w:hAnsi="Aptos" w:eastAsia="Aptos"/>
          <w:b w:val="0"/>
          <w:color w:val="2F3A4A"/>
          <w:sz w:val="18"/>
        </w:rPr>
        <w:t>Audience-sensitive handling does not require unnecessary withholding. It requires shaping information to the audience's role, reliance expectation, authority, and legitimate purpose. A vendor may need a technical symptom without customer impact context. An executive may need exposure options without every operational artifact. A customer may need a status commitment without internal dependency history. A governance forum may need evidence limitations that would be inappropriate in a general operational channel.</w:t>
      </w:r>
    </w:p>
    <w:p>
      <w:r>
        <w:br w:type="page"/>
      </w:r>
    </w:p>
    <w:p>
      <w:pPr>
        <w:spacing w:before="160" w:after="40" w:lineRule="auto" w:line="240"/>
        <w:keepNext/>
      </w:pPr>
      <w:r>
        <w:rPr>
          <w:rFonts w:ascii="Aptos" w:hAnsi="Aptos" w:eastAsia="Aptos"/>
          <w:b/>
          <w:color w:val="17365D"/>
          <w:sz w:val="19"/>
        </w:rPr>
        <w:t>Indirect Disclosure Patterns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Implied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issue is material, reputationally sensitive, or linked to a high-value relationship.</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case appears in a visible urgent queue after executive inquiry.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priority visibility and separate routing urgency from sensitive rationale.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disclosure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file name, version history, or escalation path reveals issue posture.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document title references remediation status before customer notification.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metadata and naming conventions for restricted and external-bound artifacts.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Omission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absence of expected detail suggests uncertainty, dispute, or unresolved dependency.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status update avoids root cause because evidence is incomplete.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limitation language instead of silent omission when reliance is expected.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Combined facts reveal trend, concentration, exposure volume, or institutional capacity.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totals show recurring exceptions in a single customer segment.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aggregate reporting for inference risk before broad distribution.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Attendance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 list reveals executive involvement, investigation posture, or functional concern.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routine vendor meeting suddenly includes legal, finance, or executive stakeholders.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role-neutral meeting framing where appropriate and limit distribution of attendee-sensitive materials.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timing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Speed, delay, or escalation pattern reveals urgency, uncertainty, or resource constraint.</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delayed customer reply suggests internal disagreement before a decision is documented.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Coordinate timing, status language, and escalation ownership for sensitive responses.</w:t>
            </w:r>
          </w:p>
        </w:tc>
      </w:tr>
    </w:tbl>
    <w:p>
      <w:pPr>
        <w:spacing w:before="0" w:after="20" w:lineRule="auto" w:line="252"/>
      </w:pPr>
    </w:p>
    <w:p>
      <w:pPr>
        <w:spacing w:before="160" w:after="40" w:lineRule="auto" w:line="240"/>
        <w:keepNext/>
      </w:pPr>
      <w:r>
        <w:rPr>
          <w:rFonts w:ascii="Aptos" w:hAnsi="Aptos" w:eastAsia="Aptos"/>
          <w:b/>
          <w:color w:val="17365D"/>
          <w:sz w:val="19"/>
        </w:rPr>
        <w:t>Audience-Sensitivity Classifications</w:t>
      </w:r>
    </w:p>
    <w:tbl>
      <w:tblPr>
        <w:tblStyle w:val="TableGrid"/>
        <w:tblW w:type="pct" w:w="5000"/>
        <w:jc w:val="center"/>
        <w:tblLayout w:type="fixed"/>
        <w:tblLook w:firstColumn="1" w:firstRow="1" w:lastColumn="0" w:lastRow="0" w:noHBand="0" w:noVBand="1" w:val="04A0"/>
      </w:tblPr>
      <w:tblGrid>
        <w:gridCol w:w="1800"/>
        <w:gridCol w:w="3384"/>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Audience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Information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Likely Inference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Practice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details, workflow context, owner assignments, and execution constraints.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may infer governance posture from exceptions or issue recurrence.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broad context to what is needed for execution and preserve escalation route.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forum</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status, evidence sufficiency, exception age, unresolved exposure, and decision need.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Members may mistake information receipt for authority to accept exposure.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Clarify decision rights, evidence limits, and owner accountability in materials.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leadership</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consequence, options, dependencies, funding needs, external reliance, and residual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Briefings can compress uncertainty into apparent consensus.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unresolved questions, decision options, and authority requirements.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or service provider</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symptom, required action, configuration need, and support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may learn customer sensitivity, institutional weakness, or internal fallback strategy.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minimum necessary context and separate customer or governance rationale where feasible.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facts, status commitments, relevant limitation, and next-step expectations.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interpret operational transparency as assurance beyond evidence support.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evidence-backed language and avoid exposing internal routing or unresolved decision friction.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or broad external audience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posture statements, maintained verification references, and bounded assurance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statements can become implied governance claims.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reuse, version, freshness, and scope before publication or republication.</w:t>
            </w:r>
          </w:p>
        </w:tc>
      </w:tr>
    </w:tbl>
    <w:p>
      <w:pPr>
        <w:spacing w:before="0" w:after="20" w:lineRule="auto" w:line="252"/>
      </w:pPr>
    </w:p>
    <w:p>
      <w:pPr>
        <w:spacing w:before="160" w:after="40" w:lineRule="auto" w:line="240"/>
        <w:keepNext/>
      </w:pPr>
      <w:r>
        <w:rPr>
          <w:rFonts w:ascii="Aptos" w:hAnsi="Aptos" w:eastAsia="Aptos"/>
          <w:b/>
          <w:color w:val="17365D"/>
          <w:sz w:val="19"/>
        </w:rPr>
        <w:t>Operational Disclosure Amplification Patterns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Disclosure Expands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Method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copying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include broader distribution because identifying a narrower audience takes time.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observers without role, authority, or handling obligation.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owner-based distribution for sensitive workflow packets.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normalization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exception or unresolved issue language becomes routine in general updates.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weakens because repeated exposure makes the issue seem ordinary.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recurring sensitive status items for escalation or audience reduction.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reuse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issue narrative is reused in meetings, tickets, executive briefings, and customer responses.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caveats and purpose limitations disappear across contexts.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source-linked summaries with intended-audience labels.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availability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live view becomes accessible to teams that need only partial indicators.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materiality, volume, or control weakness from metrics not intended for them.</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dashboard views by role and inference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Attachment persistence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documents remain attached to old tickets, chats, or shared folders.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Source-system restrictions and freshness controls no longer apply.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disposition triggers and register extracted sensitive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restatement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produces a confident narrative from fragmented workflow context.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output becomes easier to share than the source material and propagates further.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generated-output review before circulation outside the immediate task.</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Confidentiality and Exposure Propagation</w:t>
      </w:r>
    </w:p>
    <w:p>
      <w:pPr>
        <w:spacing w:before="0" w:after="100" w:lineRule="auto" w:line="252"/>
      </w:pPr>
      <w:r>
        <w:rPr>
          <w:rFonts w:ascii="Aptos" w:hAnsi="Aptos" w:eastAsia="Aptos"/>
          <w:b w:val="0"/>
          <w:color w:val="2F3A4A"/>
          <w:sz w:val="18"/>
        </w:rPr>
        <w:t>AI systems accelerate visibility propagation because they make it easier to convert complex operational context into portable language. Summaries, generated responses, rankings, classifications, and recommendations can move sensitive meaning beyond the original workflow while appearing less sensitive than the source material. The governance concern is not limited to whether source text is repeated. It includes what the output implies, how it is reused, and whether recipients treat generated coherence as institutional certainty.</w:t>
      </w:r>
    </w:p>
    <w:p>
      <w:pPr>
        <w:spacing w:before="0" w:after="100" w:lineRule="auto" w:line="252"/>
      </w:pPr>
      <w:r>
        <w:rPr>
          <w:rFonts w:ascii="Aptos" w:hAnsi="Aptos" w:eastAsia="Aptos"/>
          <w:b w:val="0"/>
          <w:color w:val="2F3A4A"/>
          <w:sz w:val="18"/>
        </w:rPr>
        <w:t>Summarization changes confidentiality boundaries by compressing uncertainty and removing the friction that previously limited distribution. A long evidence packet may have been difficult to forward and interpret; an AI-generated paragraph can be copied into executive briefings, customer responses, vendor tickets, and dashboards. The same operational fact becomes more exposed because it has become easier to move.</w:t>
      </w:r>
    </w:p>
    <w:p>
      <w:pPr>
        <w:spacing w:before="0" w:after="100" w:lineRule="auto" w:line="252"/>
      </w:pPr>
      <w:r>
        <w:rPr>
          <w:rFonts w:ascii="Aptos" w:hAnsi="Aptos" w:eastAsia="Aptos"/>
          <w:b w:val="0"/>
          <w:color w:val="2F3A4A"/>
          <w:sz w:val="18"/>
        </w:rPr>
        <w:t>Generated outputs may expose institutional posture indirectly. A response can reveal that an issue has executive attention, that remediation is incomplete, that a vendor dependency is unresolved, that evidence is limited, or that the organization is prioritizing one customer segment over another. Metadata, ranking, queue order, and generated narratives can create implied disclosure even when the output does not include restricted source fields.</w:t>
      </w:r>
    </w:p>
    <w:p>
      <w:pPr>
        <w:spacing w:before="0" w:after="160" w:lineRule="auto" w:line="252"/>
      </w:pPr>
      <w:r>
        <w:rPr>
          <w:rFonts w:ascii="Aptos" w:hAnsi="Aptos" w:eastAsia="Aptos"/>
          <w:b w:val="0"/>
          <w:color w:val="2F3A4A"/>
          <w:sz w:val="18"/>
        </w:rPr>
        <w:t>AI-assisted workflows also alter audience assumptions. A team may believe an output is merely an internal draft, while the system stores it, indexes it, exposes it through recap features, or makes it available to broader users through search, recommendation, or workflow automation. Propagation risk increases when outputs are reused as templates, incorporated into dashboards, or treated as evidence without preserving prompt, source, limitation, and reviewer context.</w:t>
      </w:r>
    </w:p>
    <w:p>
      <w:pPr>
        <w:spacing w:before="160" w:after="40" w:lineRule="auto" w:line="240"/>
        <w:keepNext/>
      </w:pPr>
      <w:r>
        <w:rPr>
          <w:rFonts w:ascii="Aptos" w:hAnsi="Aptos" w:eastAsia="Aptos"/>
          <w:b/>
          <w:color w:val="17365D"/>
          <w:sz w:val="19"/>
        </w:rPr>
        <w:t>AI-Assisted Confidentiality Risks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Result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overdisclosure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identity, exception history, internal rationale, or unresolved dependencies to obtain useful drafting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context enters a processing path beyond the intended audience or system boundary.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high-sensitivity prompts to approved environments and apply minimum necessary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boundary collapse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turns a controlled evidence packet or meeting transcript into a portable paragraph.</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summary travels without source limitations, exclusions, or audience restrictions.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summary labels, source references, reviewer identity, and permitted-use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confidence inflation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presents facts, assumptions, and recommendations in a coherent institutional voice.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greater certainty or approval than the evidence supports.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outputs for confidence level, limitation language, and authority alignment.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Ranking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prioritizes cases, customers, vendors, or exceptions in a visible queue or report.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reveals materiality, sensitivity, or executive concern.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ranking visibility and separate operational routing from sensitive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leakage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labels records by urgency, risk, issue type, or customer category.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label itself discloses sensitive status to users who did not need substantive detail.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who can view labels and whether classification should be abstracted by role.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contamination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from one sensitive context is reused for other situations.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Assurance, apology, limitation, or commitment language propagates outside its evidence basis.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generated templates through scope controls and version review.</w:t>
            </w:r>
          </w:p>
        </w:tc>
      </w:tr>
    </w:tbl>
    <w:p>
      <w:pPr>
        <w:spacing w:before="0" w:after="20" w:lineRule="auto" w:line="252"/>
      </w:pPr>
    </w:p>
    <w:p>
      <w:pPr>
        <w:spacing w:before="160" w:after="40" w:lineRule="auto" w:line="240"/>
        <w:keepNext/>
      </w:pPr>
      <w:r>
        <w:rPr>
          <w:rFonts w:ascii="Aptos" w:hAnsi="Aptos" w:eastAsia="Aptos"/>
          <w:b/>
          <w:color w:val="17365D"/>
          <w:sz w:val="19"/>
        </w:rPr>
        <w:t>AI-Mediated Visibility Expansion</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Expansion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Boundary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 and retrieval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can find sensitive content across repositories, transcripts, chats, or attachments.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visible because it is discoverable, not because access was purpose-approved.</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enforce role-aware retrieval for sensitive repositories.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recap</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Conversation details, participants, action items, and unresolved issues become summarized artifacts.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Informal discussion becomes a searchable record with broader distribution potential.</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recap generation, attendee distribution, and retention for sensitive meetings.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Smart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Incoming records are assigned to categories, queues, owners, or urgency levels.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Routing logic reveals priority and may expose records to broader operational groups.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routing paths, fallback queues, and sensitivity exceptions.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context is converted into response-ready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can be forwarded externally before assurance, limitation, or authority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checkpoints for external-bound or executive-bound generated text.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Anomaly detection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flags unusual patterns, outliers, customer clusters, or operational deviations.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pattern itself may disclose sensitive operating conditions or weak controls.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anomaly reports to roles authorized to assess underlying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translation or simplification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nuance is reformatted into easier language or another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Meaning, caveat, or limitation may shift while recipients treat the output as equivalent.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translated or simplified outputs before reliance or redistribution.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and Downstream Confidentiality Boundaries</w:t>
      </w:r>
    </w:p>
    <w:p>
      <w:pPr>
        <w:spacing w:before="0" w:after="100" w:lineRule="auto" w:line="252"/>
      </w:pPr>
      <w:r>
        <w:rPr>
          <w:rFonts w:ascii="Aptos" w:hAnsi="Aptos" w:eastAsia="Aptos"/>
          <w:b w:val="0"/>
          <w:color w:val="2F3A4A"/>
          <w:sz w:val="18"/>
        </w:rPr>
        <w:t>Third-party workflows introduce confidentiality exposure because information moves through external personnel, platforms, integrations, support channels, analytics tooling, AI-enabled features, subcontractors, and retained outputs. The primary governance question is not only whether a third party may receive information. It is whether the organization understands what the third party can observe, infer, store, transform, support, or propagate.</w:t>
      </w:r>
    </w:p>
    <w:p>
      <w:pPr>
        <w:spacing w:before="0" w:after="160" w:lineRule="auto" w:line="252"/>
      </w:pPr>
      <w:r>
        <w:rPr>
          <w:rFonts w:ascii="Aptos" w:hAnsi="Aptos" w:eastAsia="Aptos"/>
          <w:b w:val="0"/>
          <w:color w:val="2F3A4A"/>
          <w:sz w:val="18"/>
        </w:rPr>
        <w:t>Downstream exposure is frequently created by operational dependency. A vendor may become the practical repository of issue history. A support portal may retain attachments. A collaboration workspace may contain internal discussion. A vendor's AI features may summarize tickets, route requests, or generate recommendations. These conditions can convert an operational service into confidentiality infrastructure without a corresponding governance reassessment.</w:t>
      </w:r>
    </w:p>
    <w:p>
      <w:pPr>
        <w:spacing w:before="160" w:after="40" w:lineRule="auto" w:line="240"/>
        <w:keepNext/>
      </w:pPr>
      <w:r>
        <w:rPr>
          <w:rFonts w:ascii="Aptos" w:hAnsi="Aptos" w:eastAsia="Aptos"/>
          <w:b/>
          <w:color w:val="17365D"/>
          <w:sz w:val="19"/>
        </w:rPr>
        <w:t>Third-Party Confidentiality Exposure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Third-Party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Downstream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provider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issue descriptions, logs, attachments, configuration context, or customer impact details.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may learn sensitive institutional posture through repeated support interactions.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submissions to required operational facts and manage support access by issue sensitivity.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tool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tickets, approvals, files, comments, routing status, and operational history.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Platform permissions, exports, AI features, and support roles may expand visibility.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role design, retention, AI processing, administrative access, and integration paths.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Advisor or reviewer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evidence packets, briefing materials, issue history, or governance assertions.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may be downloaded, summarized, reused, or relied upon outside the original review.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purpose, permitted use, version, audience, and disposition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provider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Transfers fields, attachments, status signals, and metadata between systems.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context may be lost when data is normalized, transformed, or logged.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field-level movement, logs, error queues, and handling labels across systems.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Processes prompts, documents, transcripts, tickets, recommendations, or summaries through embedded AI.</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outputs, usage records, or generated artifacts may persist separately from source material.</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data use settings, retained outputs, subcontractor assumptions, and output ownership.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 portal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Shares responses, status updates, evidence excerpts, commitments, and limitation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infer broader governance posture or retain materials beyond the immediate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statement scope, evidence support, version, and reliance boundary.</w:t>
            </w:r>
          </w:p>
        </w:tc>
      </w:tr>
    </w:tbl>
    <w:p>
      <w:pPr>
        <w:spacing w:before="0" w:after="20" w:lineRule="auto" w:line="252"/>
      </w:pPr>
    </w:p>
    <w:p>
      <w:pPr>
        <w:spacing w:before="160" w:after="40" w:lineRule="auto" w:line="240"/>
        <w:keepNext/>
      </w:pPr>
      <w:r>
        <w:rPr>
          <w:rFonts w:ascii="Aptos" w:hAnsi="Aptos" w:eastAsia="Aptos"/>
          <w:b/>
          <w:color w:val="17365D"/>
          <w:sz w:val="19"/>
        </w:rPr>
        <w:t>Workflow Propagation Controls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detail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institutional context from moving with a narrow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only the facts needed for support, review, decision, or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Complete histories are pasted into tickets because selective extraction is slower.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one comprehensive packet from serving all audiences.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 separate versions for operational team, executive forum, vendor, and customer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leak into external responses through reused materials.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summaries from replacing evidence and limitations.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date, coverage, caveats, and reviewer notes to condensed narratives.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summary becomes the only record used in later decisions.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awareness of sensitive copies outside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dashboard exports, evidence packets, attachments, and local copies.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files outlive source-system restrictions and freshness controls.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derived data, and reformatted evidence as governed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text, extracted fields, classifications, and analytics before reliance.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outputs circulate without provenance or sensitivity label.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discipline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persistent exposure after the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triggers for sensitive propagated artifacts.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packets remain available and are reused after the underlying facts change.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Confidentiality Escalation and Handling Boundaries</w:t>
      </w:r>
    </w:p>
    <w:p>
      <w:pPr>
        <w:spacing w:before="0" w:after="100" w:lineRule="auto" w:line="252"/>
      </w:pPr>
      <w:r>
        <w:rPr>
          <w:rFonts w:ascii="Aptos" w:hAnsi="Aptos" w:eastAsia="Aptos"/>
          <w:b w:val="0"/>
          <w:color w:val="2F3A4A"/>
          <w:sz w:val="18"/>
        </w:rPr>
        <w:t>Confidentiality escalation is required when the movement, transformation, audience, inference risk, external reliance, AI involvement, or third-party processing of information exceeds routine handling assumptions. Escalation does not necessarily indicate failure. It indicates that the confidentiality boundary has become decision-relevant and must be reviewed by authority capable of balancing operational need, institutional trust, evidence, and exposure.</w:t>
      </w:r>
    </w:p>
    <w:p>
      <w:pPr>
        <w:spacing w:before="0" w:after="160" w:lineRule="auto" w:line="252"/>
      </w:pPr>
      <w:r>
        <w:rPr>
          <w:rFonts w:ascii="Aptos" w:hAnsi="Aptos" w:eastAsia="Aptos"/>
          <w:b w:val="0"/>
          <w:color w:val="2F3A4A"/>
          <w:sz w:val="18"/>
        </w:rPr>
        <w:t>Handling boundaries should be visible enough for operational teams to apply without interrupting routine work, but specific enough to prevent convenience from becoming the governing rule. Boundary models must distinguish internal visibility from external disclosure, operational disclosure from governance-sensitive disclosure, and permitted access from appropriate use.</w:t>
      </w:r>
    </w:p>
    <w:p>
      <w:r>
        <w:br w:type="page"/>
      </w:r>
    </w:p>
    <w:p>
      <w:pPr>
        <w:spacing w:before="160" w:after="40" w:lineRule="auto" w:line="240"/>
        <w:keepNext/>
      </w:pPr>
      <w:r>
        <w:rPr>
          <w:rFonts w:ascii="Aptos" w:hAnsi="Aptos" w:eastAsia="Aptos"/>
          <w:b/>
          <w:color w:val="17365D"/>
          <w:sz w:val="19"/>
        </w:rPr>
        <w:t>Confidentiality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to a new group whose purpose, authority, or reliance expectation differs from the original audience.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remediation summary created for operations is requested by a customer success team.</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Determine whether content should be redacted, reframed, limited, or withheld.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output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intended for customer, partner, vendor, investor, public, or other external 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response references internal dependency status.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facts, evidence support, limitation language, and authority.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transformation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summarizes, classifies, ranks, extracts, recommends, or generates from sensitive workflow content.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AI-generated executive brief condenses unresolved exceptions into a single posture statement.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source traceability, review, or restricted distribution is required.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exposure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Non-content signals reveal urgency, executive attention, investigation status, or institutional weakness.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File names or queue labels disclose that a customer issue is under executive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Adjust naming, routing, label visibility, or audience scope.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 change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provider, platform, integration, or AI-enabled feature changes how information is processed or retained.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enables automated ticket summaries inside a support portal.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processing boundary, data use setting, retention, and visibility model.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exception disclosure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sensitive status appears in routine updates until recipients normalize it.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weekly dashboard repeatedly displays unresolved control exceptions to broad leadership distribution.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issue escalation, audience reduction, or remediation authority review is required.</w:t>
            </w:r>
          </w:p>
        </w:tc>
      </w:tr>
    </w:tbl>
    <w:p>
      <w:pPr>
        <w:spacing w:before="0" w:after="20" w:lineRule="auto" w:line="252"/>
      </w:pPr>
    </w:p>
    <w:p>
      <w:pPr>
        <w:spacing w:before="160" w:after="40" w:lineRule="auto" w:line="240"/>
        <w:keepNext/>
      </w:pPr>
      <w:r>
        <w:rPr>
          <w:rFonts w:ascii="Aptos" w:hAnsi="Aptos" w:eastAsia="Aptos"/>
          <w:b/>
          <w:color w:val="17365D"/>
          <w:sz w:val="19"/>
        </w:rPr>
        <w:t>Visibility Containment Structures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Applied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Weakness Addressed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Tiered briefing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execution detail from executive decision content and external-ready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Different audience versions with consistent source basis and tailored limitation.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unnecessary context to every participant.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sensitive facts while allowing task execution through limited instructions.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users receive action steps without full customer, executive, or remediation context.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teams see materiality rationale they do not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indirect disclosure through titles, labels, routing, comments, and timestamps.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neutral naming and role-based label visibility for sensitive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posture is exposed through non-content signals.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gate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generated text from becoming relied-upon without confidentiality and source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AI outputs enter executive, customer, vendor, or evidence channels.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summaries are treated as neutral drafts and copied broadly.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use of source information while preserving snapshot and audience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only required fields with date, population, exclusions, and permitted audience.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exports become unmanaged source replacements.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accountability for determining whether information can move beyond its current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Named owner approves audience change, external use, or third-party processing.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someone else approved redistribution.</w:t>
            </w:r>
          </w:p>
        </w:tc>
      </w:tr>
    </w:tbl>
    <w:p>
      <w:pPr>
        <w:spacing w:before="0" w:after="20" w:lineRule="auto" w:line="252"/>
      </w:pPr>
    </w:p>
    <w:p>
      <w:pPr>
        <w:spacing w:before="160" w:after="40" w:lineRule="auto" w:line="240"/>
        <w:keepNext/>
      </w:pPr>
      <w:r>
        <w:rPr>
          <w:rFonts w:ascii="Aptos" w:hAnsi="Aptos" w:eastAsia="Aptos"/>
          <w:b/>
          <w:color w:val="17365D"/>
          <w:sz w:val="19"/>
        </w:rPr>
        <w:t>Confidentiality Handling Expectations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identification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Identify the audience, system, workflow, third party, and transformation boundary before information moves.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Handling note, access record, routing decision, or approved transfer basis.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treat internal access as approval for any internal reuse.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preservation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uncertainty, limitation, source date, and workflow stage attached to summaries and briefings.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 reviewer note, or limitation statement.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rely on compressed facts without knowing what was excluded.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Shape content according to what each audience needs and may appropriately infer.</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 version, distribution list, and approved content scope.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packet is sent to operations, executives, vendors, and external stakeholders.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tracking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sensitive copies, exports, AI outputs, and downstream artifacts that leave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 file owner, retention date, or disposition rule.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materials persist in uncontrolled locations and are reused later.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confidentiality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prompts, outputs, rankings, classifications, and generated narratives for direct and implied 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Prompt/output review, model/tool approval, source reference, or output gate.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circulate because they appear less sensitive than source material.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provider access, support visibility, AI features, retained outputs, integrations, and onward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workflow map, processing note, access design, or configuration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platforms become confidentiality infrastructure without governance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Confidentiality and Exposure Boundary Operating Standard</w:t>
      </w:r>
    </w:p>
    <w:p>
      <w:pPr>
        <w:spacing w:before="0" w:after="100" w:lineRule="auto" w:line="252"/>
      </w:pPr>
      <w:r>
        <w:rPr>
          <w:rFonts w:ascii="Aptos" w:hAnsi="Aptos" w:eastAsia="Aptos"/>
          <w:b w:val="0"/>
          <w:color w:val="2F3A4A"/>
          <w:sz w:val="18"/>
        </w:rPr>
        <w:t>Confidentiality governance under this framework shall be operated as a boundary discipline tied to workflow purpose, audience, visibility, inference, propagation, transformation, third-party processing, and operational consequence. Information shall not be considered appropriately handled solely because it remains inside an internal system, carries a familiar label, or is visible to personnel with broad technical access.</w:t>
      </w:r>
    </w:p>
    <w:p>
      <w:pPr>
        <w:spacing w:before="0" w:after="100" w:lineRule="auto" w:line="252"/>
      </w:pPr>
      <w:r>
        <w:rPr>
          <w:rFonts w:ascii="Aptos" w:hAnsi="Aptos" w:eastAsia="Aptos"/>
          <w:b w:val="0"/>
          <w:color w:val="2F3A4A"/>
          <w:sz w:val="18"/>
        </w:rPr>
        <w:t>Organizations implementing this framework shall distinguish confidentiality from secrecy, restricted access, operational visibility, implied disclosure, governance-sensitive disclosure, and propagated exposure. Confidentiality boundaries shall be defined by what recipients can see, infer, reuse, retain, transform, and represent, not only by whether a record was intentionally disclosed.</w:t>
      </w:r>
    </w:p>
    <w:p>
      <w:pPr>
        <w:spacing w:before="0" w:after="100" w:lineRule="auto" w:line="252"/>
      </w:pPr>
      <w:r>
        <w:rPr>
          <w:rFonts w:ascii="Aptos" w:hAnsi="Aptos" w:eastAsia="Aptos"/>
          <w:b w:val="0"/>
          <w:color w:val="2F3A4A"/>
          <w:sz w:val="18"/>
        </w:rPr>
        <w:t>Exposure pathways shall be governed across summaries, dashboards, exports, collaboration channels, vendor submissions, third-party systems, AI-generated outputs, metadata, templates, and downstream artifacts. Where information is transformed, summarized, ranked, classified, or generated by AI-assisted systems, the resulting artifact shall be treated as a new confidentiality object requiring review according to audience, source basis, limitation, and reliance.</w:t>
      </w:r>
    </w:p>
    <w:p>
      <w:pPr>
        <w:spacing w:before="0" w:after="100" w:lineRule="auto" w:line="252"/>
      </w:pPr>
      <w:r>
        <w:rPr>
          <w:rFonts w:ascii="Aptos" w:hAnsi="Aptos" w:eastAsia="Aptos"/>
          <w:b w:val="0"/>
          <w:color w:val="2F3A4A"/>
          <w:sz w:val="18"/>
        </w:rPr>
        <w:t>Third-party and downstream confidentiality boundaries shall be evaluated for access, retention, support visibility, integrations, AI-enabled features, output ownership, and onward propagation. Operational convenience shall not override the need to preserve minimum necessary context, purpose limitation, source linkage, disposition discipline, and audience-sensitive handling.</w:t>
      </w:r>
    </w:p>
    <w:p>
      <w:pPr>
        <w:spacing w:before="0" w:after="100" w:lineRule="auto" w:line="252"/>
      </w:pPr>
      <w:r>
        <w:rPr>
          <w:rFonts w:ascii="Aptos" w:hAnsi="Aptos" w:eastAsia="Aptos"/>
          <w:b w:val="0"/>
          <w:color w:val="2F3A4A"/>
          <w:sz w:val="18"/>
        </w:rPr>
        <w:t>Confidentiality escalation shall occur when audience expansion, external-bound use, AI transformation, metadata exposure, repeated exception disclosure, or third-party processing change creates exposure beyond routine workflow authority. The operating standard for this section is sustained alignment between confidentiality boundary, operational purpose, audience sensitivity, propagation control, accountable review, and institutional trust.</w:t>
      </w:r>
    </w:p>
    <w:sectPr w:rsidR="00FC693F" w:rsidRPr="0006063C" w:rsidSect="00034616">
      <w:footerReference w:type="default" r:id="rId9"/>
      <w:pgSz w:w="12240" w:h="15840"/>
      <w:pgMar w:top="1037" w:right="835" w:bottom="893" w:left="835"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left"/>
    </w:pPr>
    <w:r>
      <w:rPr>
        <w:rFonts w:ascii="Aptos" w:hAnsi="Aptos" w:eastAsia="Aptos"/>
        <w:b w:val="0"/>
        <w:color w:val="66758A"/>
        <w:sz w:val="14"/>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