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ptos Display" w:hAnsi="Aptos Display" w:eastAsia="Aptos Display"/>
          <w:b/>
          <w:color w:val="17365D"/>
          <w:sz w:val="40"/>
        </w:rPr>
        <w:t>3.2 Governance Monitoring, Operational Review, Assurance Validation,</w:t>
        <w:br/>
        <w:t>and Control Observability</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assurance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assurance,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assurance,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keepNext/>
        <w:spacing w:before="360" w:after="160"/>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assurance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assurance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keepNext/>
        <w:spacing w:before="360" w:after="160"/>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assurance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assurance.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assurance, external reliance, or decision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keepNext/>
        <w:spacing w:before="360" w:after="160"/>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assurance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keepNext/>
        <w:spacing w:before="360" w:after="160"/>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assurance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keepNext/>
        <w:spacing w:before="360" w:after="160"/>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keepNext/>
        <w:spacing w:before="360" w:after="160"/>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assurance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keepNext/>
        <w:spacing w:before="360" w:after="160"/>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keepNext/>
        <w:spacing w:before="360" w:after="160"/>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assurance or require remediation.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keepNext/>
        <w:spacing w:before="360" w:after="160"/>
      </w:pPr>
      <w:r>
        <w:rPr>
          <w:rFonts w:ascii="Aptos Display" w:hAnsi="Aptos Display" w:eastAsia="Aptos Display"/>
          <w:b/>
          <w:color w:val="17365D"/>
          <w:sz w:val="36"/>
        </w:rPr>
        <w:t>Assurance Calibration and Confidence Boundaries</w:t>
      </w:r>
    </w:p>
    <w:p>
      <w:pPr>
        <w:spacing w:before="0" w:after="120" w:line="254" w:lineRule="auto"/>
      </w:pPr>
      <w:r>
        <w:rPr>
          <w:rFonts w:ascii="Aptos" w:hAnsi="Aptos" w:eastAsia="Aptos"/>
          <w:b w:val="0"/>
          <w:color w:val="1F2937"/>
          <w:sz w:val="20"/>
        </w:rPr>
        <w:t>Assurance validation determines whether governance confidence is proportionate to evidence, review quality, control operation, and operational reality. Assurance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assurance.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Assurance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Assurance Calibration Levels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assurance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assurance without additional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persists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keepNext/>
        <w:spacing w:before="360" w:after="160"/>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keepNext/>
        <w:spacing w:before="360" w:after="160"/>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assurance.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assurance level, and remediation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keepNext/>
        <w:spacing w:before="360" w:after="160"/>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assurance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assurance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keepNext/>
        <w:spacing w:before="360" w:after="160"/>
      </w:pPr>
      <w:r>
        <w:rPr>
          <w:rFonts w:ascii="Aptos Display" w:hAnsi="Aptos Display" w:eastAsia="Aptos Display"/>
          <w:b/>
          <w:color w:val="17365D"/>
          <w:sz w:val="36"/>
        </w:rPr>
        <w:t>Governance Monitoring and Assurance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assurance.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assurance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assurance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assurance language remains proportionate to evidence. This standard establishes the review and validation foundation for the remaining Section III implementation, evidence, monitoring, maintenance, and operational verification materials.</w:t>
      </w:r>
    </w:p>
    <w:sectPr w:rsidR="00FC693F" w:rsidRPr="0006063C" w:rsidSect="00034616">
      <w:footerReference w:type="default" r:id="rId9"/>
      <w:pgSz w:w="12240" w:h="15840"/>
      <w:pgMar w:top="1037"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