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8365C"/>
          <w:sz w:val="38"/>
        </w:rPr>
        <w:t>2.6 AI Vendor Governance, Service Maturity, and External Reliance Management</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AI vendors, AI-enabled providers, external AI services, and vendor-managed AI workflows. AI vendor governance is treated as an operational reliance discipline rather than a procurement checklist. The organization must understand how external AI services receive information, transform workflow context, generate outputs, influence decisions, create dependency, and affect institutional representations.</w:t>
      </w:r>
    </w:p>
    <w:p>
      <w:pPr>
        <w:spacing w:before="0" w:after="100" w:lineRule="auto" w:line="252"/>
      </w:pPr>
      <w:r>
        <w:rPr>
          <w:rFonts w:ascii="Aptos" w:hAnsi="Aptos" w:eastAsia="Aptos"/>
          <w:b w:val="0"/>
          <w:color w:val="2B3646"/>
          <w:sz w:val="18"/>
        </w:rPr>
        <w:t>AI vendors can become operational infrastructure even when introduced as productivity tools. A service used initially for summarization may later support routing, prioritization, customer response, executive reporting, evidence preparation, vendor coordination, or assurance language. Governance exposure increases when provider-managed logic begins shaping institutional behavior while the organization retains only partial visibility into processing, model behavior, configuration, service maturity, and output limitations.</w:t>
      </w:r>
    </w:p>
    <w:p>
      <w:pPr>
        <w:spacing w:before="0" w:after="160" w:lineRule="auto" w:line="252"/>
      </w:pPr>
      <w:r>
        <w:rPr>
          <w:rFonts w:ascii="Aptos" w:hAnsi="Aptos" w:eastAsia="Aptos"/>
          <w:b w:val="0"/>
          <w:color w:val="2B3646"/>
          <w:sz w:val="18"/>
        </w:rPr>
        <w:t>The governance model must therefore distinguish AI vendor, AI-enabled vendor, externally generated output, provider-assisted workflow, AI-service dependency, externalized AI processing, vendor-generated recommendation, provider-managed AI workflow, external AI reliance, and AI-service governance maturity. These distinctions allow AI adoption to remain bounded by workflow consequence, information sensitivity, accountability preservation, continuity requirements, and reliance limits.</w:t>
      </w:r>
    </w:p>
    <w:p>
      <w:pPr>
        <w:spacing w:before="160" w:after="40" w:lineRule="auto" w:line="240"/>
        <w:keepNext/>
      </w:pPr>
      <w:r>
        <w:rPr>
          <w:rFonts w:ascii="Aptos" w:hAnsi="Aptos" w:eastAsia="Aptos"/>
          <w:b/>
          <w:color w:val="18365C"/>
          <w:sz w:val="19"/>
        </w:rPr>
        <w:t>AI Vendor Maturity Classifications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Maturity Class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Characteristics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Strength</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Concern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Experimental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Used for limited drafting, exploration, formatting, or low-reliance assistance.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controlled learning before material workflow reliance forms.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expand use informally because early use appears harmless.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support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Assists routine summarization, classification, search, intake, or task preparation.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Improves workflow throughput when use cases and boundaries are defined.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output may become embedded in ordinary decisions without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Decision-support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Ranks, recommends, prioritizes, flags, scores, or proposes workflow actions.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focus attention and support triage at scale.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logic may shape decisions while authority remains unclear.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Evidence-support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Produces extracts, summaries, control reports, audit packets, or evidence-preparation materials.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Can improve evidence assembly and traceability when source linkage is preserved.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Derived output may be mistaken for evidence without source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representation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Generates customer, vendor, executive, investor, partner, or public-facing narratives.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support timely communication when bounded by evidence and authority.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Polished language can imply assurance beyond what the institution reviewed.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Embedded infrastructure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capability is part of a platform hosting critical workflow, integration, or reporting activity.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scale when processing, continuity, and change controls are mature.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evolution may alter governance assumptions without visible adoption event.</w:t>
            </w:r>
          </w:p>
        </w:tc>
      </w:tr>
    </w:tbl>
    <w:p>
      <w:pPr>
        <w:spacing w:before="0" w:after="80" w:lineRule="auto" w:line="240"/>
      </w:pPr>
    </w:p>
    <w:p>
      <w:pPr>
        <w:spacing w:before="160" w:after="40" w:lineRule="auto" w:line="240"/>
        <w:keepNext/>
      </w:pPr>
      <w:r>
        <w:rPr>
          <w:rFonts w:ascii="Aptos" w:hAnsi="Aptos" w:eastAsia="Aptos"/>
          <w:b/>
          <w:color w:val="18365C"/>
          <w:sz w:val="19"/>
        </w:rPr>
        <w:t>External AI Reliance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Reliance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Reliance Forms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Consequence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Posture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Convenience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use external AI for speed, formatting, summarization, or preliminary drafting.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output accelerates work but is not intended to determine outcome.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outputs as assistive and restrict reuse across workflows.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service becomes part of intake, triage, routing, response preparation, or review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 timing and user behavior begin depending on the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approved populations, user roles, review gates, and fallback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Analytical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AI-generated classifications, trends, anomaly flags, or risk scores shape prioritization.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attention follows external logic even when decision authority remains internal.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interpretation limits and record owner disposition.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AI-assisted extracts, summaries, or reports support governance assertions.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Derived artifacts affect audit-supportive or assurance-bearing activity.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source, method, reviewer, population,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Representation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AI-generated narratives are used in customer, executive, partner, vendor, or public contexts.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Institutional posture may be inferred from generated language.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evidence sufficiency, authority approval, and audience boundary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Continuity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Operations cannot sustain required cadence without provider availability or output stability.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Outage, provider change, or model behavior shift disrupts governance operation.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alternate handling, exportability, and service-change triggers.</w:t>
            </w:r>
          </w:p>
        </w:tc>
      </w:tr>
    </w:tbl>
    <w:p>
      <w:pPr>
        <w:spacing w:before="0" w:after="80" w:lineRule="auto" w:line="240"/>
      </w:pPr>
    </w:p>
    <w:p>
      <w:pPr>
        <w:spacing w:before="160" w:after="40" w:lineRule="auto" w:line="240"/>
        <w:keepNext/>
      </w:pPr>
      <w:r>
        <w:rPr>
          <w:rFonts w:ascii="Aptos" w:hAnsi="Aptos" w:eastAsia="Aptos"/>
          <w:b/>
          <w:color w:val="18365C"/>
          <w:sz w:val="19"/>
        </w:rPr>
        <w:t>AI Service Governance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Expectation Area</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Expectation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Purpose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Use-case definition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service use is tied to named workflow, information class, user role, and reliance condition.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platform availability from becoming blanket approval.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apply approved AI tool to unreviewed sensitive workflows.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Input populations, prompt content, integrations, derived outputs, and retention behavior are understood.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Constrains externalized AI processing to approved purpose.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Sensitive context enters a provider environment through convenience.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Output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material is labeled as draft, recommendation, summary, evidence-support, or approved representation.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Separates assistive output from authoritative institutional position.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AI-generated text circulates as if reviewed and final.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gate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outputs receive human review appropriate to consequence, audience, and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accountability and decision authority.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recommendation is accepted because it appears confident.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Change monitoring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Feature, model, integration, retention, and provider-processing changes trigger reassessment.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Keeps governance aligned with service evolution.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Model behavior shifts while workflow owners assume continuity.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Continuity planning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Fallback paths, export mechanisms, and service disruption response are defined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Protects operations from provider dependence becoming fragility.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Outage forces informal workarounds with poor evidence discipline.</w:t>
            </w:r>
          </w:p>
        </w:tc>
      </w:tr>
    </w:tbl>
    <w:p>
      <w:pPr>
        <w:spacing w:before="0" w:after="80" w:lineRule="auto" w:line="240"/>
      </w:pPr>
    </w:p>
    <w:p>
      <w:pPr>
        <w:spacing w:before="160" w:after="40" w:lineRule="auto" w:line="240"/>
        <w:keepNext/>
      </w:pPr>
      <w:r>
        <w:rPr>
          <w:rFonts w:ascii="Aptos" w:hAnsi="Aptos" w:eastAsia="Aptos"/>
          <w:b/>
          <w:color w:val="18365C"/>
          <w:sz w:val="19"/>
        </w:rPr>
        <w:t>Vendor Maturity Indicators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Indicator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Mature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Immature Condition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Implication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specificity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capability is assessed against actual workflow consequence and intended output use.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is evaluated generically without regard to how the organization will rely on it.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Risk rating does not match operational exposure.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 explainability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Users can identify source basis, transformation type, limitation, and review requirement.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 appears complete without explaining how it was generated or bounded.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Reviewers over-rely on generated coherence.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Service change discipline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Material feature, model, retention, and integration changes are communicated and assessed.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Service evolves through silent platform updates.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assumptions age without operational notice.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Dependency transparency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downstream processing categories and provider-managed functions are visible enough for governance review.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chain is opaque beyond the user interface.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Continuity and exposure assessment becomes speculative.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continuity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 fallback, outage handling, and migration support are practical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reliability is assumed because service has been stable.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Service disruption reveals unsupported dependency concentration.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supportability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records support reconstruction of use, output, source, date, and reviewer disposition.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Logs and exports are incomplete or unsuitable for governance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influence cannot be reconstructed after reliance occurs.</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 Provider Dependency and Service Maturity Evaluation</w:t>
      </w:r>
    </w:p>
    <w:p>
      <w:pPr>
        <w:spacing w:before="0" w:after="100" w:lineRule="auto" w:line="252"/>
      </w:pPr>
      <w:r>
        <w:rPr>
          <w:rFonts w:ascii="Aptos" w:hAnsi="Aptos" w:eastAsia="Aptos"/>
          <w:b w:val="0"/>
          <w:color w:val="2B3646"/>
          <w:sz w:val="18"/>
        </w:rPr>
        <w:t>AI-service maturity is not a single institutional label. A provider may be mature for low-consequence drafting while immature for evidence support, external representation, or automated prioritization. Vendor maturity must therefore be assessed against workflow consequence, information sensitivity, output reliance, continuity need, accountability boundary, and the organization's ability to reconstruct how generated or transformed artifacts influenced operational behavior.</w:t>
      </w:r>
    </w:p>
    <w:p>
      <w:pPr>
        <w:spacing w:before="0" w:after="160" w:lineRule="auto" w:line="252"/>
      </w:pPr>
      <w:r>
        <w:rPr>
          <w:rFonts w:ascii="Aptos" w:hAnsi="Aptos" w:eastAsia="Aptos"/>
          <w:b w:val="0"/>
          <w:color w:val="2B3646"/>
          <w:sz w:val="18"/>
        </w:rPr>
        <w:t>Organizations often adopt AI vendors faster than governance adapts because the operational benefits appear immediate and measurable. Summaries reduce reading time. Recommendations reduce triage burden. Generated responses reduce drafting effort. Search and classification reduce manual sorting. These benefits create dependency concentration when the provider becomes embedded before use cases, output status, review gates, change triggers, and fallback methods are operationally established.</w:t>
      </w:r>
    </w:p>
    <w:p>
      <w:pPr>
        <w:spacing w:before="160" w:after="40" w:lineRule="auto" w:line="240"/>
        <w:keepNext/>
      </w:pPr>
      <w:r>
        <w:rPr>
          <w:rFonts w:ascii="Aptos" w:hAnsi="Aptos" w:eastAsia="Aptos"/>
          <w:b/>
          <w:color w:val="18365C"/>
          <w:sz w:val="19"/>
        </w:rPr>
        <w:t>AI-Provider Dependency Patterns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Dependency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Signal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Method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Interface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rely on provider interface as the primary workspace for AI-assisted tasks.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 history, prompts, outputs, and decisions concentrate in vendor environment.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approved workspaces, export requirements, and closure expectations.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Logic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Routing, scoring, summarization, or recommendation behavior shapes user attention.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judgment becomes influenced by provider-managed logic.</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reliance decisions and review material logic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Narrative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reuse generated language for reports, customer responses, or executive updates.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output shapes institutional posture and confidence signaling.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authority review and source-linked limitation control.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Evidence-preparation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service prepares packets, summaries, extracts, or control reporting inputs.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reliability depends on transformation accuracy and source coverage.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population, source mapping, reviewer, and method.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cadence assumes provider availability and output stability.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 or service change disrupts operations and reconstruction capability.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 fallback process and test exportability for material workflows.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Configuration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settings determine which users, records, features, integrations, or AI functions apply.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Configuration becomes de facto governance architecture.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material configuration change as governance-significant.</w:t>
            </w:r>
          </w:p>
        </w:tc>
      </w:tr>
    </w:tbl>
    <w:p>
      <w:pPr>
        <w:spacing w:before="0" w:after="80" w:lineRule="auto" w:line="240"/>
      </w:pPr>
    </w:p>
    <w:p>
      <w:pPr>
        <w:spacing w:before="160" w:after="40" w:lineRule="auto" w:line="240"/>
        <w:keepNext/>
      </w:pPr>
      <w:r>
        <w:rPr>
          <w:rFonts w:ascii="Aptos" w:hAnsi="Aptos" w:eastAsia="Aptos"/>
          <w:b/>
          <w:color w:val="18365C"/>
          <w:sz w:val="19"/>
        </w:rPr>
        <w:t>AI-Service Adoption Maturity Indicators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Adoption Indicator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Controlled Adoption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Fragile Adoption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Review Focus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Use-case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Approved workflows, populations, outputs, and excluded uses are documented.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infer acceptable use from tool access.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that actual use matches approved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 routing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outputs move through defined draft, review, approval, or evidence-support channels.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Outputs are copied into ordinary communications without status marking.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Inspect distribution path and audience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Reviewer capability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Reviewers understand source basis, transformation limits, and when to challenge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consists mainly of reading for tone or completeness.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reviewer training through applied workflow examples.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Fallback readiness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Manual or alternate service process exists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teams have no practical path if the AI feature fails.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Test continuity under service outage or access loss.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Change response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Material service changes trigger reassessment before reliance expands.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updates are accepted as ordinary improvements.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Monitor feature release and model behavior change impact.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discipline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AI-assisted outputs retain source, method, reviewer, date, and limitation where relied upon.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artifacts are retained without provenance.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sample outputs for reconstructability.</w:t>
            </w:r>
          </w:p>
        </w:tc>
      </w:tr>
    </w:tbl>
    <w:p>
      <w:pPr>
        <w:spacing w:before="0" w:after="80" w:lineRule="auto" w:line="240"/>
      </w:pPr>
    </w:p>
    <w:p>
      <w:pPr>
        <w:spacing w:before="160" w:after="40" w:lineRule="auto" w:line="240"/>
        <w:keepNext/>
      </w:pPr>
      <w:r>
        <w:rPr>
          <w:rFonts w:ascii="Aptos" w:hAnsi="Aptos" w:eastAsia="Aptos"/>
          <w:b/>
          <w:color w:val="18365C"/>
          <w:sz w:val="19"/>
        </w:rPr>
        <w:t>AI Vendor Operational Risk Distinctions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Distinction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Meaning</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It Matters</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Control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access vs provider influence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vendor may not expose many records but may strongly influence decisions through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Low data volume can still produce high governance consequence.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output reliance separately from input exposure.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Tool availability vs operational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service may be optional at launch and essential after adoption.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Dependency can form before continuity planning exists.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Reassess after sustained workflow 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Output quality vs governance sufficiency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output may be accurate but lack evidence, authority, or limitation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usefulness does not equal governance defensibility.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source-linked review for material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maturity vs use-case maturity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may have strong service controls while the organization's implementation is immature.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Customer-side workflow design can create exposure despite vendor capability.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Evaluate adoption model, not provider posture alone.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Automation support vs authority transfer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can prepare or recommend without possessing decision authority.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treat confident output as approval.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accountable owner disposition for material outputs.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Transparency promise vs practical observability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documentation may describe controls that do not support workflow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needs operationally usable evidence, not abstract assurance language.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Test whether logs, exports, and metadata answer reconstruction questions.</w:t>
            </w:r>
          </w:p>
        </w:tc>
      </w:tr>
    </w:tbl>
    <w:p>
      <w:pPr>
        <w:spacing w:before="0" w:after="80" w:lineRule="auto" w:line="240"/>
      </w:pPr>
    </w:p>
    <w:p>
      <w:pPr>
        <w:spacing w:before="160" w:after="40" w:lineRule="auto" w:line="240"/>
        <w:keepNext/>
      </w:pPr>
      <w:r>
        <w:rPr>
          <w:rFonts w:ascii="Aptos" w:hAnsi="Aptos" w:eastAsia="Aptos"/>
          <w:b/>
          <w:color w:val="18365C"/>
          <w:sz w:val="19"/>
        </w:rPr>
        <w:t>AI-Service Visibility Boundaries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Visibility Boundary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Must Remain Distinct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Failure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Input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materials approved for AI processing and materials outside approved scope.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receives redacted issue facts rather than full customer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paste full case history because summary quality improves.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Transformation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 evidence and AI-derived summary, classification, recommendation, or draft.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executive summary includes source and limitation note.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Summary is treated as original evidence.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Audience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working output, governance review output, executive narrative, and external representation.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Customer response is generated from approved facts only after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draft is sent externally with unresolved assumptions.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Authority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recommendation and accountable institutional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Owner records accept, modify, or reject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Vendor-generated recommendation is cited as the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Primary AI service and downstream model, analytics, hosting, or support functions.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Material subprocess change is reviewed for affected workflows.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moves through opaque provider chain.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Retention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prompts, generated drafts, reviewed outputs, and retained evidence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are disposed after approved response is retained.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history persists indefinitely with sensitive context.</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Externally Generated Outputs and Institutional Reliance</w:t>
      </w:r>
    </w:p>
    <w:p>
      <w:pPr>
        <w:spacing w:before="0" w:after="100" w:lineRule="auto" w:line="252"/>
      </w:pPr>
      <w:r>
        <w:rPr>
          <w:rFonts w:ascii="Aptos" w:hAnsi="Aptos" w:eastAsia="Aptos"/>
          <w:b w:val="0"/>
          <w:color w:val="2B3646"/>
          <w:sz w:val="18"/>
        </w:rPr>
        <w:t>AI vendors increasingly generate operational narratives, summaries, classifications, recommendations, issue descriptions, executive updates, customer responses, vendor instructions, evidence-support materials, and assurance-facing language. These outputs may be produced outside the organization's direct logic, but they can still shape institutional behavior. The governance concern is not only whether the output is technically correct. It is whether the organization can understand how the output was formed, why it was trusted, who relied on it, what limitation applied, and whether it changed the decision path.</w:t>
      </w:r>
    </w:p>
    <w:p>
      <w:pPr>
        <w:spacing w:before="0" w:after="100" w:lineRule="auto" w:line="252"/>
      </w:pPr>
      <w:r>
        <w:rPr>
          <w:rFonts w:ascii="Aptos" w:hAnsi="Aptos" w:eastAsia="Aptos"/>
          <w:b w:val="0"/>
          <w:color w:val="2B3646"/>
          <w:sz w:val="18"/>
        </w:rPr>
        <w:t>Externally generated outputs can appear authoritative because they are coherent, formatted, timely, and integrated into operational systems. A generated recommendation may frame the options available to a reviewer. A summary may compress uncertainty into a confident status statement. A vendor-generated narrative may shape customer or executive perception before an accountable authority has confirmed evidence sufficiency. Institutional trust weakens when provider-generated logic becomes opaque while reliance expands.</w:t>
      </w:r>
    </w:p>
    <w:p>
      <w:pPr>
        <w:spacing w:before="0" w:after="160" w:lineRule="auto" w:line="252"/>
      </w:pPr>
      <w:r>
        <w:rPr>
          <w:rFonts w:ascii="Aptos" w:hAnsi="Aptos" w:eastAsia="Aptos"/>
          <w:b w:val="0"/>
          <w:color w:val="2B3646"/>
          <w:sz w:val="18"/>
        </w:rPr>
        <w:t>Externally mediated AI workflows require accountability preservation. The provider may generate content, but the institution remains responsible for the decision to use, modify, distribute, rely upon, or retain it. Governance handling must therefore identify when outputs are assistive, when they are relied upon, when they support evidence, when they influence decisions, and when they become institutional representations.</w:t>
      </w:r>
    </w:p>
    <w:p>
      <w:pPr>
        <w:spacing w:before="160" w:after="40" w:lineRule="auto" w:line="240"/>
        <w:keepNext/>
      </w:pPr>
      <w:r>
        <w:rPr>
          <w:rFonts w:ascii="Aptos" w:hAnsi="Aptos" w:eastAsia="Aptos"/>
          <w:b/>
          <w:color w:val="18365C"/>
          <w:sz w:val="19"/>
        </w:rPr>
        <w:t>Externally Generated Output Classifications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Output Class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Reliance Concern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Assistive draft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wording, formatting, or initial response structure.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be mistaken for approved language when circulated.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draft status and require review before 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Condenses tickets, meetings, cases, evidence, or workflow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May remove uncertainty, caveats, or source exclusions.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source linkage, date,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output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Assigns topic, sensitivity, severity, priority, or routing category.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influence workflow treatment and reveal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categories and review label freshness.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output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Suggests action, escalation, remediation, response, or prioritization.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May displace accountable judgment through confidence and convenience.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owner disposition and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Evidence-support output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Prepares extract, control report, audit-supportive narrative, or evidence packet component.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be cited beyond its source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population, source, transformation, reviewer, and assertion fit.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Representation output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Creates language for customer, partner, executive, investor, vendor, or public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Can imply assurance, completion, or institutional confidence.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through evidence sufficiency and authority review.</w:t>
            </w:r>
          </w:p>
        </w:tc>
      </w:tr>
    </w:tbl>
    <w:p>
      <w:pPr>
        <w:spacing w:before="0" w:after="80" w:lineRule="auto" w:line="240"/>
      </w:pPr>
    </w:p>
    <w:p>
      <w:pPr>
        <w:spacing w:before="160" w:after="40" w:lineRule="auto" w:line="240"/>
        <w:keepNext/>
      </w:pPr>
      <w:r>
        <w:rPr>
          <w:rFonts w:ascii="Aptos" w:hAnsi="Aptos" w:eastAsia="Aptos"/>
          <w:b/>
          <w:color w:val="18365C"/>
          <w:sz w:val="19"/>
        </w:rPr>
        <w:t>Provider Accountability Boundaries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Area</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Provider May Support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 Must Retain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Content generation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Drafting, summarizing, formatting, classification, or 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Final content decision, audience fit, evidence support, and approval authority.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text is treated as institutional 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 automation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Routing, prioritization, queue assistance, alerting, or task suggestion.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authority for escalation, deferral, residual exposure, and exception handling.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Automated routing becomes unreviewed governance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preparation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Extracting, assembling, transforming, or presenting source materials.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Assessment of completeness, limitation, population, and assertion support.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report is accepted as evidence without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monitoring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Usage metrics, anomaly flags, confidence scores, or system health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Interpretation of operational consequence and governance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metric is repeated without institutional analysis.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Exports, migration assistance, outage communication, and service restoration.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Fallback activation, reconstruction decisions, and reliance adjustment.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Operations continue informally during service disruption.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assurance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documentation, control information, status statements, and feature notices.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Use-case-specific reliance decision and boundary calibration.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posture is overgeneralized to every workflow.</w:t>
            </w:r>
          </w:p>
        </w:tc>
      </w:tr>
    </w:tbl>
    <w:p>
      <w:pPr>
        <w:spacing w:before="0" w:after="80" w:lineRule="auto" w:line="240"/>
      </w:pPr>
    </w:p>
    <w:p>
      <w:pPr>
        <w:spacing w:before="160" w:after="40" w:lineRule="auto" w:line="240"/>
        <w:keepNext/>
      </w:pPr>
      <w:r>
        <w:rPr>
          <w:rFonts w:ascii="Aptos" w:hAnsi="Aptos" w:eastAsia="Aptos"/>
          <w:b/>
          <w:color w:val="18365C"/>
          <w:sz w:val="19"/>
        </w:rPr>
        <w:t>Externally Generated Confidence Inflation Patterns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Countermeasure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Narrative smoothing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output converts unresolved or mixed evidence into polished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Recipients infer certainty that the source material did not support.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limitation review and source-based caveat preservation.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Ranking authority effect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score appears objective and directs attention.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Reviewers overweight generated priority compared with operational facts.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Document scoring use limits and owner override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Summary compression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reduces long workflow history to concise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Material exceptions and minority facts disappear.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source linkage and exception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Template normalization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language becomes repeated standard phrasing.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Context-specific assumptions become institutional position.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Version templates and review source basis before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Dashboard confidence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AI-enhanced dashboard presents status with visual clarity.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Green status masks data exclusions, stale inputs, or model limits.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population, freshness, calculation, and exception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posture transfer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maturity statements are treated as assurance for the customer's use case.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assurance is overextended beyond actual workflow handling.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Calibrate reliance to specific processing and output use.</w:t>
            </w:r>
          </w:p>
        </w:tc>
      </w:tr>
    </w:tbl>
    <w:p>
      <w:pPr>
        <w:spacing w:before="0" w:after="80" w:lineRule="auto" w:line="240"/>
      </w:pPr>
    </w:p>
    <w:p>
      <w:pPr>
        <w:spacing w:before="160" w:after="40" w:lineRule="auto" w:line="240"/>
        <w:keepNext/>
      </w:pPr>
      <w:r>
        <w:rPr>
          <w:rFonts w:ascii="Aptos" w:hAnsi="Aptos" w:eastAsia="Aptos"/>
          <w:b/>
          <w:color w:val="18365C"/>
          <w:sz w:val="19"/>
        </w:rPr>
        <w:t>External AI Processing Pathways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Processing Pathway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Moves Externally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Risk</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Requirement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 submission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Instructions, source extracts, issue facts, customer context, or internal rationale.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 convenience may exceed approved information boundary.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prompts by use case and sensitive-content handling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Embedded platform processing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already hosted in a vendor platform are processed by new AI features.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posture changes without user-visible boundary crossing.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feature enablement and affected workflow populations.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Integration-mediated processing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Connected systems send records, metadata, or events to AI-enabled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Data movement expands through automation rather than manual choice.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 integration maps and change triggers.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support processing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personnel use AI tools to troubleshoot, summarize, or respond to service issues.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context may enter provider-managed tools outside customer workflow.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support AI handling boundaries and escalation conditions.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Model service processing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uses external model services or infrastructure for AI capability.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 processing may inherit source or transformed context.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material subprocess categories and continuity implications.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output distribution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Summaries, recommendations, drafts, classifications, or analytics move to internal and external audiences.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Derived material may be relied upon beyond its source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Apply output status, review, and audience controls.</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External Reliance Management and Vendor Oversight</w:t>
      </w:r>
    </w:p>
    <w:p>
      <w:pPr>
        <w:spacing w:before="0" w:after="100" w:lineRule="auto" w:line="252"/>
      </w:pPr>
      <w:r>
        <w:rPr>
          <w:rFonts w:ascii="Aptos" w:hAnsi="Aptos" w:eastAsia="Aptos"/>
          <w:b w:val="0"/>
          <w:color w:val="2B3646"/>
          <w:sz w:val="18"/>
        </w:rPr>
        <w:t>External AI reliance must remain bounded by operational purpose and institutional accountability. The organization may use provider capability, but it must not allow provider-generated logic, vendor summaries, AI recommendations, or externally hosted workflows to substitute for accountable decision ownership. The more a service influences workflow treatment, evidence support, assurance language, or external representation, the more explicit the reliance boundary must become.</w:t>
      </w:r>
    </w:p>
    <w:p>
      <w:pPr>
        <w:spacing w:before="0" w:after="160" w:lineRule="auto" w:line="252"/>
      </w:pPr>
      <w:r>
        <w:rPr>
          <w:rFonts w:ascii="Aptos" w:hAnsi="Aptos" w:eastAsia="Aptos"/>
          <w:b w:val="0"/>
          <w:color w:val="2B3646"/>
          <w:sz w:val="18"/>
        </w:rPr>
        <w:t>Dependency-aware AI governance requires oversight that can survive service change, workflow expansion, provider outage, model update, integration drift, personnel turnover, and evidence reconstruction. Service maturity is not proven by vendor claims alone. It is demonstrated when the organization's actual use of the service remains explainable, reviewable, auditable, recoverable, and proportionate to the consequence of reliance.</w:t>
      </w:r>
    </w:p>
    <w:p>
      <w:r>
        <w:br w:type="page"/>
      </w:r>
    </w:p>
    <w:p>
      <w:pPr>
        <w:spacing w:before="160" w:after="40" w:lineRule="auto" w:line="240"/>
        <w:keepNext/>
      </w:pPr>
      <w:r>
        <w:rPr>
          <w:rFonts w:ascii="Aptos" w:hAnsi="Aptos" w:eastAsia="Aptos"/>
          <w:b/>
          <w:color w:val="18365C"/>
          <w:sz w:val="19"/>
        </w:rPr>
        <w:t>Vendor Governance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Escalation Is Required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output becomes externally relied upon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content may shape customer, partner, executive, or public understanding.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AI-drafted remediation summary is proposed for customer update.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evidence support, authority, limitation, and audience fit.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feature changes processing posture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service behavior, retention, model use, or integration changes materially affect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enables automated classification for case queues.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Assess affected populations, output status, and review gates.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Recommendation influences material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logic may narrow or frame institutional options.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ranking determines which vendor exceptions receive priority.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decision owner disposition and override criteria.</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dependency affects continuity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Operations or governance reviews cannot continue without provider availability.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evidence-preparation service outage delays assurance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Activate fallback, record gap, and reassess dependency concentration.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transparency is insufficient for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cannot reconstruct source, method, limitation, or output path.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analytics are used without understanding excluded records.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reliance or require additional provider evidence.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Vendor-generated confidence conflicts with operational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status, score, or narrative differs from owner understanding.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shows low risk while operators know unresolved dependencies remain.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Reconcile source data, model logic, and accountability owner.</w:t>
            </w:r>
          </w:p>
        </w:tc>
      </w:tr>
    </w:tbl>
    <w:p>
      <w:pPr>
        <w:spacing w:before="0" w:after="80" w:lineRule="auto" w:line="240"/>
      </w:pPr>
    </w:p>
    <w:p>
      <w:pPr>
        <w:spacing w:before="160" w:after="40" w:lineRule="auto" w:line="240"/>
        <w:keepNext/>
      </w:pPr>
      <w:r>
        <w:rPr>
          <w:rFonts w:ascii="Aptos" w:hAnsi="Aptos" w:eastAsia="Aptos"/>
          <w:b/>
          <w:color w:val="18365C"/>
          <w:sz w:val="19"/>
        </w:rPr>
        <w:t>AI-Service Continuity Concerns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Concern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Impact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Impact</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Prepared Response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outage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AI-assisted drafting, triage, search, or evidence assembly becomes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may bypass controlled handling to keep work moving.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 manual or alternate process for material workflows.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Model behavior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Summaries, classifications, or recommendations change in tone, precision, or priority.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Outputs before and after change may not be comparable.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relied-upon outputs and update limitation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Feature retirement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relied-upon AI function, export, log, or workflow capability is removed.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reconstruction or operational cadence may weaken.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reliance before retirement and preserve necessary records.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limitation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outputs, reviewer dispositions, or metadata cannot be retrieved in usable format.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influence becomes difficult to reconstruct later.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Test exports before material adoption.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policy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reuse, support, subprocess, or feature behavior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assumptions no longer match actual processing.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Escalate material changes and recalibrate use cases.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Integration failure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Connected systems stop sending, receiving, or syncing correct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outputs may be based on incomplete or stale populations.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Monitor field mappings, sync health, and exception handling.</w:t>
            </w:r>
          </w:p>
        </w:tc>
      </w:tr>
    </w:tbl>
    <w:p>
      <w:pPr>
        <w:spacing w:before="0" w:after="80" w:lineRule="auto" w:line="240"/>
      </w:pPr>
    </w:p>
    <w:p>
      <w:pPr>
        <w:spacing w:before="160" w:after="40" w:lineRule="auto" w:line="240"/>
        <w:keepNext/>
      </w:pPr>
      <w:r>
        <w:rPr>
          <w:rFonts w:ascii="Aptos" w:hAnsi="Aptos" w:eastAsia="Aptos"/>
          <w:b/>
          <w:color w:val="18365C"/>
          <w:sz w:val="19"/>
        </w:rPr>
        <w:t>Vendor-Reliance Containment Structures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Function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vendor role profile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Documents provider function, AI capability, workflow use, and reliance condition.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vendor capability from being treated as a generic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Material AI dependency remains hidden under ordinary vendor classification.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Approved AI use case catalog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permitted workflows, populations, outputs, and excluded uses.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Enables repeatable use without unbounded expansion.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Users apply service wherever it appears useful.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Output reliance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Tracks generated outputs used for decision, evidence, escalation, or representation.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accountability and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Externally generated outputs become institutional memory without provenance.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change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review for feature, model, retention, integration, or subprocess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governance aligned with service evolution.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updates silently shift exposure or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fallback plan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Defines manual or alternate handling for material AI-service disruption.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Reduces dependency concentration and informal bypass.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 produces unmanaged local workarounds.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evidence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Maintains documentation, exports, logs, configuration, and processing boundaries needed for review.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audit-supportive reconstruction of AI-service use.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 cannot determine how AI influenced workflow.</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 Vendor Governance and External Reliance Operating Standard</w:t>
      </w:r>
    </w:p>
    <w:p>
      <w:pPr>
        <w:spacing w:before="0" w:after="100" w:lineRule="auto" w:line="252"/>
      </w:pPr>
      <w:r>
        <w:rPr>
          <w:rFonts w:ascii="Aptos" w:hAnsi="Aptos" w:eastAsia="Aptos"/>
          <w:b w:val="0"/>
          <w:color w:val="2B3646"/>
          <w:sz w:val="18"/>
        </w:rPr>
        <w:t>AI vendor governance under this framework shall be operated according to workflow consequence, information sensitivity, service maturity, processing transparency, output reliance, accountability preservation, and continuity need. AI vendors and AI-enabled providers shall not be evaluated solely as procurement relationships, technical tools, or general service providers when their capabilities receive institutional context, transform operational materials, generate outputs, influence decisions, or support representations.</w:t>
      </w:r>
    </w:p>
    <w:p>
      <w:pPr>
        <w:spacing w:before="0" w:after="100" w:lineRule="auto" w:line="252"/>
      </w:pPr>
      <w:r>
        <w:rPr>
          <w:rFonts w:ascii="Aptos" w:hAnsi="Aptos" w:eastAsia="Aptos"/>
          <w:b w:val="0"/>
          <w:color w:val="2B3646"/>
          <w:sz w:val="18"/>
        </w:rPr>
        <w:t>Organizations implementing this framework shall distinguish AI vendor, AI-enabled vendor, externally generated output, provider-assisted workflow, AI-service dependency, externalized AI processing, vendor-generated recommendation, provider-managed AI workflow, external AI reliance, and AI-service governance maturity. These distinctions shall guide approved use cases, service evaluation, output handling, review gates, escalation triggers, and continuity planning.</w:t>
      </w:r>
    </w:p>
    <w:p>
      <w:pPr>
        <w:spacing w:before="0" w:after="100" w:lineRule="auto" w:line="252"/>
      </w:pPr>
      <w:r>
        <w:rPr>
          <w:rFonts w:ascii="Aptos" w:hAnsi="Aptos" w:eastAsia="Aptos"/>
          <w:b w:val="0"/>
          <w:color w:val="2B3646"/>
          <w:sz w:val="18"/>
        </w:rPr>
        <w:t>External AI reliance shall remain bounded and reconstructable. Generated summaries, classifications, recommendations, rankings, drafts, analytics, extracted fields, evidence-support materials, and representation language shall be treated according to their operational use and reliance consequence. Where outputs influence decisions, evidence, escalation, external communication, or assurance posture, the organization shall preserve source basis, transformation context, reviewer disposition, limitation, audience, and accountable authority.</w:t>
      </w:r>
    </w:p>
    <w:p>
      <w:pPr>
        <w:spacing w:before="0" w:after="100" w:lineRule="auto" w:line="252"/>
      </w:pPr>
      <w:r>
        <w:rPr>
          <w:rFonts w:ascii="Aptos" w:hAnsi="Aptos" w:eastAsia="Aptos"/>
          <w:b w:val="0"/>
          <w:color w:val="2B3646"/>
          <w:sz w:val="18"/>
        </w:rPr>
        <w:t>AI-service maturity shall be assessed by use case rather than vendor reputation alone. A provider may be appropriate for assistive drafting and unsuitable for evidence support, external representation, automated prioritization, or continuity-critical workflow operation. Service maturity shall be recalibrated when the provider changes functionality, processing chain, model behavior, retention practices, integration behavior, output format, or operational role.</w:t>
      </w:r>
    </w:p>
    <w:p>
      <w:pPr>
        <w:spacing w:before="0" w:after="100" w:lineRule="auto" w:line="252"/>
      </w:pPr>
      <w:r>
        <w:rPr>
          <w:rFonts w:ascii="Aptos" w:hAnsi="Aptos" w:eastAsia="Aptos"/>
          <w:b w:val="0"/>
          <w:color w:val="2B3646"/>
          <w:sz w:val="18"/>
        </w:rPr>
        <w:t>The operating standard for this section is bounded institutional reliance on external AI capability. AI vendors may extend operational capacity, but they shall not obscure processing boundaries, displace accountable decision authority, create unreviewed dependency concentration, convert generated output into unsupported evidence, or allow provider-mediated logic to shape governance posture without institutional recognition and review.</w:t>
      </w:r>
    </w:p>
    <w:sectPr w:rsidR="00FC693F" w:rsidRPr="0006063C" w:rsidSect="00034616">
      <w:footerReference w:type="default" r:id="rId9"/>
      <w:pgSz w:w="12240" w:h="15840"/>
      <w:pgMar w:top="1037" w:right="835" w:bottom="893" w:left="835"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pPr>
    <w:r/>
    <w:r>
      <w:rPr>
        <w:rFonts w:ascii="Aptos" w:hAnsi="Aptos" w:eastAsia="Aptos"/>
        <w:b w:val="0"/>
        <w:color w:val="6473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